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B2" w:rsidRPr="00475BCB" w:rsidRDefault="0064711C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75BCB">
        <w:rPr>
          <w:rFonts w:ascii="Arial" w:hAnsi="Arial" w:cs="Arial"/>
          <w:b/>
          <w:sz w:val="20"/>
          <w:szCs w:val="20"/>
        </w:rPr>
        <w:t>VCX: Annual General Mandate</w:t>
      </w:r>
      <w:r w:rsidR="0074587F" w:rsidRPr="00475BCB">
        <w:rPr>
          <w:rFonts w:ascii="Arial" w:hAnsi="Arial" w:cs="Arial"/>
          <w:b/>
          <w:sz w:val="20"/>
          <w:szCs w:val="20"/>
        </w:rPr>
        <w:tab/>
      </w:r>
    </w:p>
    <w:p w:rsidR="00ED6FE7" w:rsidRPr="00C124FF" w:rsidRDefault="00C124FF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29 April 2017, Yen Binh Cemen</w:t>
      </w:r>
      <w:r w:rsidR="0064711C">
        <w:rPr>
          <w:rFonts w:ascii="Arial" w:hAnsi="Arial" w:cs="Arial"/>
          <w:sz w:val="20"/>
          <w:szCs w:val="20"/>
        </w:rPr>
        <w:t>t Joint Stock Company announced the Annual General Mandate as follows:</w:t>
      </w:r>
    </w:p>
    <w:p w:rsidR="00D814B2" w:rsidRPr="001A12DD" w:rsidRDefault="00F8102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1: Approve the</w:t>
      </w:r>
      <w:r w:rsidR="00D814B2" w:rsidRPr="001A12DD">
        <w:rPr>
          <w:rFonts w:ascii="Arial" w:hAnsi="Arial" w:cs="Arial"/>
          <w:b/>
          <w:sz w:val="20"/>
          <w:szCs w:val="20"/>
        </w:rPr>
        <w:t xml:space="preserve"> reports on business results in 2016 and production and business plan in 2017 with the following main targets:</w:t>
      </w:r>
    </w:p>
    <w:tbl>
      <w:tblPr>
        <w:tblW w:w="91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1080"/>
        <w:gridCol w:w="1800"/>
        <w:gridCol w:w="1440"/>
        <w:gridCol w:w="1080"/>
      </w:tblGrid>
      <w:tr w:rsidR="00A6656E" w:rsidRPr="001A12DD">
        <w:tc>
          <w:tcPr>
            <w:tcW w:w="2808" w:type="dxa"/>
            <w:shd w:val="clear" w:color="auto" w:fill="auto"/>
          </w:tcPr>
          <w:p w:rsidR="00D814B2" w:rsidRPr="001A12DD" w:rsidRDefault="00D814B2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2DD">
              <w:rPr>
                <w:rFonts w:ascii="Arial" w:hAnsi="Arial" w:cs="Arial"/>
                <w:b/>
                <w:sz w:val="20"/>
                <w:szCs w:val="20"/>
              </w:rPr>
              <w:t>Targets</w:t>
            </w:r>
          </w:p>
        </w:tc>
        <w:tc>
          <w:tcPr>
            <w:tcW w:w="900" w:type="dxa"/>
            <w:shd w:val="clear" w:color="auto" w:fill="auto"/>
          </w:tcPr>
          <w:p w:rsidR="00D814B2" w:rsidRPr="001A12DD" w:rsidRDefault="00C124FF" w:rsidP="00C124F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2DD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080" w:type="dxa"/>
            <w:shd w:val="clear" w:color="auto" w:fill="auto"/>
          </w:tcPr>
          <w:p w:rsidR="00D814B2" w:rsidRPr="001A12DD" w:rsidRDefault="00C124FF" w:rsidP="00544F7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2DD">
              <w:rPr>
                <w:rFonts w:ascii="Arial" w:hAnsi="Arial" w:cs="Arial"/>
                <w:b/>
                <w:sz w:val="20"/>
                <w:szCs w:val="20"/>
              </w:rPr>
              <w:t xml:space="preserve">Plan for </w:t>
            </w:r>
            <w:r w:rsidR="00D814B2" w:rsidRPr="001A12DD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800" w:type="dxa"/>
            <w:shd w:val="clear" w:color="auto" w:fill="auto"/>
          </w:tcPr>
          <w:p w:rsidR="00D814B2" w:rsidRPr="001A12DD" w:rsidRDefault="00C31432" w:rsidP="00C124F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Implementati</w:t>
            </w:r>
            <w:r w:rsidR="00C124FF" w:rsidRPr="001A12DD">
              <w:rPr>
                <w:rFonts w:ascii="Arial" w:hAnsi="Arial" w:cs="Arial"/>
                <w:b/>
                <w:sz w:val="20"/>
                <w:szCs w:val="20"/>
              </w:rPr>
              <w:t>on in</w:t>
            </w:r>
            <w:r w:rsidR="00D814B2" w:rsidRPr="001A12DD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440" w:type="dxa"/>
            <w:shd w:val="clear" w:color="auto" w:fill="auto"/>
          </w:tcPr>
          <w:p w:rsidR="00D814B2" w:rsidRPr="00D14C1F" w:rsidRDefault="00C124FF" w:rsidP="00C124F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4C1F">
              <w:rPr>
                <w:rFonts w:ascii="Arial" w:hAnsi="Arial" w:cs="Arial"/>
                <w:b/>
                <w:sz w:val="18"/>
                <w:szCs w:val="18"/>
              </w:rPr>
              <w:t>Ratio</w:t>
            </w:r>
            <w:r w:rsidR="00D14C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4C1F">
              <w:rPr>
                <w:rFonts w:ascii="Arial" w:hAnsi="Arial" w:cs="Arial"/>
                <w:b/>
                <w:sz w:val="18"/>
                <w:szCs w:val="18"/>
              </w:rPr>
              <w:t xml:space="preserve">of Implementation/plan </w:t>
            </w:r>
            <w:r w:rsidR="00D814B2" w:rsidRPr="00D14C1F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080" w:type="dxa"/>
            <w:shd w:val="clear" w:color="auto" w:fill="auto"/>
          </w:tcPr>
          <w:p w:rsidR="00D814B2" w:rsidRPr="001A12DD" w:rsidRDefault="00C124FF" w:rsidP="00C124F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2DD">
              <w:rPr>
                <w:rFonts w:ascii="Arial" w:hAnsi="Arial" w:cs="Arial"/>
                <w:b/>
                <w:sz w:val="20"/>
                <w:szCs w:val="20"/>
              </w:rPr>
              <w:t>Plan in</w:t>
            </w:r>
            <w:r w:rsidR="00D814B2" w:rsidRPr="001A12DD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</w:p>
        </w:tc>
      </w:tr>
      <w:tr w:rsidR="00A6656E" w:rsidRPr="00C124FF">
        <w:tc>
          <w:tcPr>
            <w:tcW w:w="2808" w:type="dxa"/>
            <w:shd w:val="clear" w:color="auto" w:fill="auto"/>
          </w:tcPr>
          <w:p w:rsidR="00D814B2" w:rsidRPr="00C124FF" w:rsidRDefault="00A6656E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814B2" w:rsidRPr="00C124FF">
              <w:rPr>
                <w:rFonts w:ascii="Arial" w:hAnsi="Arial" w:cs="Arial"/>
                <w:sz w:val="20"/>
                <w:szCs w:val="20"/>
              </w:rPr>
              <w:t>Production output</w:t>
            </w:r>
          </w:p>
        </w:tc>
        <w:tc>
          <w:tcPr>
            <w:tcW w:w="900" w:type="dxa"/>
            <w:shd w:val="clear" w:color="auto" w:fill="auto"/>
          </w:tcPr>
          <w:p w:rsidR="00D814B2" w:rsidRPr="00C124FF" w:rsidRDefault="00D814B2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14B2" w:rsidRPr="00C124FF" w:rsidRDefault="00D814B2" w:rsidP="00544F7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814B2" w:rsidRPr="00C124FF" w:rsidRDefault="00D814B2" w:rsidP="00544F7C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814B2" w:rsidRPr="00C124FF" w:rsidRDefault="00D814B2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14B2" w:rsidRPr="00C124FF" w:rsidRDefault="00D814B2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124FF">
              <w:rPr>
                <w:rFonts w:ascii="Arial" w:hAnsi="Arial" w:cs="Arial"/>
                <w:sz w:val="20"/>
                <w:szCs w:val="20"/>
              </w:rPr>
              <w:t>Cement</w:t>
            </w:r>
          </w:p>
        </w:tc>
        <w:tc>
          <w:tcPr>
            <w:tcW w:w="900" w:type="dxa"/>
            <w:shd w:val="clear" w:color="auto" w:fill="auto"/>
          </w:tcPr>
          <w:p w:rsidR="005900E7" w:rsidRPr="00C124FF" w:rsidRDefault="007E60C8" w:rsidP="00B314F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Tones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722.996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- Clinke</w:t>
            </w:r>
            <w:r w:rsidR="00A027FF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900" w:type="dxa"/>
            <w:shd w:val="clear" w:color="auto" w:fill="auto"/>
          </w:tcPr>
          <w:p w:rsidR="005900E7" w:rsidRPr="00C124FF" w:rsidRDefault="007E60C8" w:rsidP="00B314F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Tones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750.000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679.411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F81025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750.000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A02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4FF">
              <w:rPr>
                <w:rFonts w:ascii="Arial" w:hAnsi="Arial" w:cs="Arial"/>
                <w:sz w:val="20"/>
                <w:szCs w:val="20"/>
              </w:rPr>
              <w:t>Consumption output</w:t>
            </w:r>
          </w:p>
        </w:tc>
        <w:tc>
          <w:tcPr>
            <w:tcW w:w="900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Cement, clinker</w:t>
            </w:r>
          </w:p>
        </w:tc>
        <w:tc>
          <w:tcPr>
            <w:tcW w:w="900" w:type="dxa"/>
            <w:shd w:val="clear" w:color="auto" w:fill="auto"/>
          </w:tcPr>
          <w:p w:rsidR="005900E7" w:rsidRPr="00C124FF" w:rsidRDefault="007E60C8" w:rsidP="00B314F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Tones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944.392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829.385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970.000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A027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Turnover </w:t>
            </w:r>
            <w:r w:rsidRPr="00C124FF">
              <w:rPr>
                <w:rFonts w:ascii="Arial" w:hAnsi="Arial" w:cs="Arial"/>
                <w:sz w:val="20"/>
                <w:szCs w:val="20"/>
              </w:rPr>
              <w:t>before tax</w:t>
            </w:r>
          </w:p>
        </w:tc>
        <w:tc>
          <w:tcPr>
            <w:tcW w:w="900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756,1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644,03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731,2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4. Depreciation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100314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5. Cost of major repairs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100314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24,229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6. EBITDA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100314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139,7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141,8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135,1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F81025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A6DE9">
              <w:rPr>
                <w:rFonts w:ascii="Arial" w:hAnsi="Arial" w:cs="Arial"/>
                <w:sz w:val="20"/>
                <w:szCs w:val="20"/>
              </w:rPr>
              <w:t xml:space="preserve">Pay principle on </w:t>
            </w:r>
            <w:r w:rsidR="00537859">
              <w:rPr>
                <w:rFonts w:ascii="Arial" w:hAnsi="Arial" w:cs="Arial"/>
                <w:sz w:val="20"/>
                <w:szCs w:val="20"/>
              </w:rPr>
              <w:t>investment</w:t>
            </w:r>
            <w:r w:rsidR="006A6DE9">
              <w:rPr>
                <w:rFonts w:ascii="Arial" w:hAnsi="Arial" w:cs="Arial"/>
                <w:sz w:val="20"/>
                <w:szCs w:val="20"/>
              </w:rPr>
              <w:t xml:space="preserve"> loan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317B79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124FF">
              <w:rPr>
                <w:rFonts w:ascii="Arial" w:hAnsi="Arial" w:cs="Arial"/>
                <w:sz w:val="20"/>
                <w:szCs w:val="20"/>
              </w:rPr>
              <w:t>. Pay interest on investment loans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317B79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40,475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9. Pay the state budget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317B79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C124FF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 w:rsidRPr="0078379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23,915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30,8</w:t>
            </w:r>
          </w:p>
        </w:tc>
      </w:tr>
      <w:tr w:rsidR="005900E7" w:rsidRPr="00C124FF">
        <w:tc>
          <w:tcPr>
            <w:tcW w:w="2808" w:type="dxa"/>
            <w:shd w:val="clear" w:color="auto" w:fill="auto"/>
          </w:tcPr>
          <w:p w:rsidR="005900E7" w:rsidRPr="00C124FF" w:rsidRDefault="005900E7" w:rsidP="00B314F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58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4FF">
              <w:rPr>
                <w:rFonts w:ascii="Arial" w:hAnsi="Arial" w:cs="Arial"/>
                <w:sz w:val="20"/>
                <w:szCs w:val="20"/>
              </w:rPr>
              <w:t>Average income</w:t>
            </w:r>
          </w:p>
        </w:tc>
        <w:tc>
          <w:tcPr>
            <w:tcW w:w="900" w:type="dxa"/>
            <w:shd w:val="clear" w:color="auto" w:fill="auto"/>
          </w:tcPr>
          <w:p w:rsidR="005900E7" w:rsidRDefault="005900E7" w:rsidP="00B314F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VND M</w:t>
            </w:r>
            <w:r w:rsidRPr="00783795">
              <w:rPr>
                <w:rFonts w:ascii="Arial" w:hAnsi="Arial" w:cs="Arial"/>
                <w:sz w:val="20"/>
                <w:szCs w:val="20"/>
              </w:rPr>
              <w:t>illion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80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44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80" w:type="dxa"/>
            <w:shd w:val="clear" w:color="auto" w:fill="auto"/>
          </w:tcPr>
          <w:p w:rsidR="005900E7" w:rsidRPr="00C124FF" w:rsidRDefault="005900E7" w:rsidP="00761357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</w:tbl>
    <w:p w:rsidR="00D814B2" w:rsidRPr="00C124FF" w:rsidRDefault="00D814B2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D814B2" w:rsidRPr="0004471C" w:rsidRDefault="00DD6CEB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 w:rsidRPr="0004471C">
        <w:rPr>
          <w:rFonts w:ascii="Arial" w:hAnsi="Arial" w:cs="Arial"/>
          <w:i/>
          <w:sz w:val="20"/>
          <w:szCs w:val="20"/>
        </w:rPr>
        <w:t>(</w:t>
      </w:r>
      <w:r w:rsidR="00D814B2" w:rsidRPr="0004471C">
        <w:rPr>
          <w:rFonts w:ascii="Arial" w:hAnsi="Arial" w:cs="Arial"/>
          <w:i/>
          <w:sz w:val="20"/>
          <w:szCs w:val="20"/>
        </w:rPr>
        <w:t xml:space="preserve">Details of the report of the Executive Board </w:t>
      </w:r>
      <w:r w:rsidR="0004471C">
        <w:rPr>
          <w:rFonts w:ascii="Arial" w:hAnsi="Arial" w:cs="Arial"/>
          <w:i/>
          <w:sz w:val="20"/>
          <w:szCs w:val="20"/>
        </w:rPr>
        <w:t xml:space="preserve">were </w:t>
      </w:r>
      <w:r w:rsidR="00D814B2" w:rsidRPr="0004471C">
        <w:rPr>
          <w:rFonts w:ascii="Arial" w:hAnsi="Arial" w:cs="Arial"/>
          <w:i/>
          <w:sz w:val="20"/>
          <w:szCs w:val="20"/>
        </w:rPr>
        <w:t>attached to the minutes of the General Meeting of Shareholders</w:t>
      </w:r>
      <w:r w:rsidRPr="0004471C">
        <w:rPr>
          <w:rFonts w:ascii="Arial" w:hAnsi="Arial" w:cs="Arial"/>
          <w:i/>
          <w:sz w:val="20"/>
          <w:szCs w:val="20"/>
        </w:rPr>
        <w:t>)</w:t>
      </w:r>
    </w:p>
    <w:p w:rsidR="00D814B2" w:rsidRDefault="00D814B2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 w:rsidR="00DD6CEB"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 w:rsidR="00DD6CEB"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 w:rsidR="00DD6CEB"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>100%</w:t>
      </w:r>
      <w:r w:rsidRPr="00C124FF">
        <w:rPr>
          <w:rFonts w:ascii="Arial" w:hAnsi="Arial" w:cs="Arial"/>
          <w:sz w:val="20"/>
          <w:szCs w:val="20"/>
        </w:rPr>
        <w:t xml:space="preserve"> of the total number of voting shares at the meeting.</w:t>
      </w:r>
    </w:p>
    <w:p w:rsidR="0004471C" w:rsidRPr="00C124FF" w:rsidRDefault="0004471C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D814B2" w:rsidRPr="00817D04" w:rsidRDefault="006264DC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2: Approve </w:t>
      </w:r>
      <w:r w:rsidR="00D814B2" w:rsidRPr="00817D04">
        <w:rPr>
          <w:rFonts w:ascii="Arial" w:hAnsi="Arial" w:cs="Arial"/>
          <w:b/>
          <w:sz w:val="20"/>
          <w:szCs w:val="20"/>
        </w:rPr>
        <w:t xml:space="preserve">the Report of the Board of Directors on the operation of the Board </w:t>
      </w:r>
      <w:r w:rsidR="007E32BA">
        <w:rPr>
          <w:rFonts w:ascii="Arial" w:hAnsi="Arial" w:cs="Arial"/>
          <w:b/>
          <w:sz w:val="20"/>
          <w:szCs w:val="20"/>
        </w:rPr>
        <w:t xml:space="preserve">of Directors in 2016, evaluate </w:t>
      </w:r>
      <w:r w:rsidR="00D814B2" w:rsidRPr="00817D04">
        <w:rPr>
          <w:rFonts w:ascii="Arial" w:hAnsi="Arial" w:cs="Arial"/>
          <w:b/>
          <w:sz w:val="20"/>
          <w:szCs w:val="20"/>
        </w:rPr>
        <w:t>the operation of the Executiv</w:t>
      </w:r>
      <w:r w:rsidR="007E32BA">
        <w:rPr>
          <w:rFonts w:ascii="Arial" w:hAnsi="Arial" w:cs="Arial"/>
          <w:b/>
          <w:sz w:val="20"/>
          <w:szCs w:val="20"/>
        </w:rPr>
        <w:t xml:space="preserve">e Board in 2016 and the </w:t>
      </w:r>
      <w:r w:rsidR="00D814B2" w:rsidRPr="00817D04">
        <w:rPr>
          <w:rFonts w:ascii="Arial" w:hAnsi="Arial" w:cs="Arial"/>
          <w:b/>
          <w:sz w:val="20"/>
          <w:szCs w:val="20"/>
        </w:rPr>
        <w:t>operation</w:t>
      </w:r>
      <w:r w:rsidR="007E32BA">
        <w:rPr>
          <w:rFonts w:ascii="Arial" w:hAnsi="Arial" w:cs="Arial"/>
          <w:b/>
          <w:sz w:val="20"/>
          <w:szCs w:val="20"/>
        </w:rPr>
        <w:t xml:space="preserve"> plan</w:t>
      </w:r>
      <w:r w:rsidR="00D814B2" w:rsidRPr="00817D04">
        <w:rPr>
          <w:rFonts w:ascii="Arial" w:hAnsi="Arial" w:cs="Arial"/>
          <w:b/>
          <w:sz w:val="20"/>
          <w:szCs w:val="20"/>
        </w:rPr>
        <w:t xml:space="preserve"> in 2017:</w:t>
      </w:r>
    </w:p>
    <w:p w:rsidR="00817D04" w:rsidRPr="0004471C" w:rsidRDefault="00817D04" w:rsidP="00817D0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 w:rsidRPr="0004471C">
        <w:rPr>
          <w:rFonts w:ascii="Arial" w:hAnsi="Arial" w:cs="Arial"/>
          <w:i/>
          <w:sz w:val="20"/>
          <w:szCs w:val="20"/>
        </w:rPr>
        <w:t xml:space="preserve">(Details of the report of the Executive Board </w:t>
      </w:r>
      <w:r>
        <w:rPr>
          <w:rFonts w:ascii="Arial" w:hAnsi="Arial" w:cs="Arial"/>
          <w:i/>
          <w:sz w:val="20"/>
          <w:szCs w:val="20"/>
        </w:rPr>
        <w:t xml:space="preserve">were </w:t>
      </w:r>
      <w:r w:rsidRPr="0004471C">
        <w:rPr>
          <w:rFonts w:ascii="Arial" w:hAnsi="Arial" w:cs="Arial"/>
          <w:i/>
          <w:sz w:val="20"/>
          <w:szCs w:val="20"/>
        </w:rPr>
        <w:t>attached to the minutes of the General Meeting of Shareholders)</w:t>
      </w:r>
    </w:p>
    <w:p w:rsidR="00817D04" w:rsidRDefault="00817D04" w:rsidP="00817D04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817D04" w:rsidRDefault="00817D04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D814B2" w:rsidRPr="00C124FF" w:rsidRDefault="00D814B2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817D04">
        <w:rPr>
          <w:rFonts w:ascii="Arial" w:hAnsi="Arial" w:cs="Arial"/>
          <w:b/>
          <w:sz w:val="20"/>
          <w:szCs w:val="20"/>
        </w:rPr>
        <w:t>Article 3:</w:t>
      </w:r>
      <w:r w:rsidR="007E32BA">
        <w:rPr>
          <w:rFonts w:ascii="Arial" w:hAnsi="Arial" w:cs="Arial"/>
          <w:sz w:val="20"/>
          <w:szCs w:val="20"/>
        </w:rPr>
        <w:t xml:space="preserve"> Approve </w:t>
      </w:r>
      <w:r w:rsidRPr="00C124FF">
        <w:rPr>
          <w:rFonts w:ascii="Arial" w:hAnsi="Arial" w:cs="Arial"/>
          <w:sz w:val="20"/>
          <w:szCs w:val="20"/>
        </w:rPr>
        <w:t xml:space="preserve">financial statements </w:t>
      </w:r>
      <w:r w:rsidR="007E32BA">
        <w:rPr>
          <w:rFonts w:ascii="Arial" w:hAnsi="Arial" w:cs="Arial"/>
          <w:sz w:val="20"/>
          <w:szCs w:val="20"/>
        </w:rPr>
        <w:t xml:space="preserve">2016 </w:t>
      </w:r>
      <w:r w:rsidRPr="00C124FF">
        <w:rPr>
          <w:rFonts w:ascii="Arial" w:hAnsi="Arial" w:cs="Arial"/>
          <w:sz w:val="20"/>
          <w:szCs w:val="20"/>
        </w:rPr>
        <w:t>audited by AASC Auditing Company Limited.</w:t>
      </w:r>
    </w:p>
    <w:p w:rsidR="007E32BA" w:rsidRDefault="007E32BA" w:rsidP="007E32BA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7E32BA" w:rsidRDefault="007E32BA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8F3C70" w:rsidRPr="004B4433" w:rsidRDefault="00D814B2" w:rsidP="004B4433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7251E3">
        <w:rPr>
          <w:rFonts w:ascii="Arial" w:hAnsi="Arial" w:cs="Arial"/>
          <w:b/>
          <w:sz w:val="20"/>
          <w:szCs w:val="20"/>
        </w:rPr>
        <w:t>Article 4:</w:t>
      </w:r>
      <w:r w:rsidR="007E32BA" w:rsidRPr="007251E3">
        <w:rPr>
          <w:rFonts w:ascii="Arial" w:hAnsi="Arial" w:cs="Arial"/>
          <w:b/>
          <w:sz w:val="20"/>
          <w:szCs w:val="20"/>
        </w:rPr>
        <w:t xml:space="preserve"> Approve plan of </w:t>
      </w:r>
      <w:r w:rsidRPr="007251E3">
        <w:rPr>
          <w:rFonts w:ascii="Arial" w:hAnsi="Arial" w:cs="Arial"/>
          <w:b/>
          <w:sz w:val="20"/>
          <w:szCs w:val="20"/>
        </w:rPr>
        <w:t>profit distribution 2016 as follows: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9"/>
        <w:gridCol w:w="4259"/>
      </w:tblGrid>
      <w:tr w:rsidR="00D814B2" w:rsidRPr="00C124FF">
        <w:tc>
          <w:tcPr>
            <w:tcW w:w="4309" w:type="dxa"/>
            <w:shd w:val="clear" w:color="auto" w:fill="auto"/>
          </w:tcPr>
          <w:p w:rsidR="00D814B2" w:rsidRPr="00C124FF" w:rsidRDefault="00D814B2" w:rsidP="007E32BA">
            <w:pPr>
              <w:numPr>
                <w:ilvl w:val="0"/>
                <w:numId w:val="26"/>
              </w:numPr>
              <w:tabs>
                <w:tab w:val="clear" w:pos="1440"/>
              </w:tabs>
              <w:spacing w:before="60" w:after="60" w:line="276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Total sales revenue</w:t>
            </w:r>
            <w:r w:rsidR="00F810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9" w:type="dxa"/>
            <w:shd w:val="clear" w:color="auto" w:fill="auto"/>
          </w:tcPr>
          <w:p w:rsidR="00D814B2" w:rsidRPr="00C124FF" w:rsidRDefault="004B5207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7E32BA">
              <w:rPr>
                <w:rFonts w:ascii="Arial" w:hAnsi="Arial" w:cs="Arial"/>
                <w:sz w:val="20"/>
                <w:szCs w:val="20"/>
              </w:rPr>
              <w:t>664.</w:t>
            </w:r>
            <w:r>
              <w:rPr>
                <w:rFonts w:ascii="Arial" w:hAnsi="Arial" w:cs="Arial"/>
                <w:sz w:val="20"/>
                <w:szCs w:val="20"/>
              </w:rPr>
              <w:t>038.834.562</w:t>
            </w:r>
          </w:p>
        </w:tc>
      </w:tr>
      <w:tr w:rsidR="00D814B2" w:rsidRPr="00C124FF">
        <w:tc>
          <w:tcPr>
            <w:tcW w:w="4309" w:type="dxa"/>
            <w:shd w:val="clear" w:color="auto" w:fill="auto"/>
          </w:tcPr>
          <w:p w:rsidR="00D814B2" w:rsidRPr="00C124FF" w:rsidRDefault="00D814B2" w:rsidP="007E32BA">
            <w:pPr>
              <w:numPr>
                <w:ilvl w:val="0"/>
                <w:numId w:val="26"/>
              </w:numPr>
              <w:tabs>
                <w:tab w:val="clear" w:pos="1440"/>
              </w:tabs>
              <w:spacing w:before="60" w:after="60" w:line="276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Total accounting profit before tax</w:t>
            </w:r>
            <w:r w:rsidR="00F810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9" w:type="dxa"/>
            <w:shd w:val="clear" w:color="auto" w:fill="auto"/>
          </w:tcPr>
          <w:p w:rsidR="00D814B2" w:rsidRPr="00C124FF" w:rsidRDefault="004B5207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23.915.102.203</w:t>
            </w:r>
          </w:p>
        </w:tc>
      </w:tr>
      <w:tr w:rsidR="00D814B2" w:rsidRPr="00C124FF">
        <w:tc>
          <w:tcPr>
            <w:tcW w:w="4309" w:type="dxa"/>
            <w:shd w:val="clear" w:color="auto" w:fill="auto"/>
          </w:tcPr>
          <w:p w:rsidR="00D814B2" w:rsidRPr="00C124FF" w:rsidRDefault="00D814B2" w:rsidP="007E32BA">
            <w:pPr>
              <w:numPr>
                <w:ilvl w:val="0"/>
                <w:numId w:val="26"/>
              </w:numPr>
              <w:tabs>
                <w:tab w:val="clear" w:pos="1440"/>
              </w:tabs>
              <w:spacing w:before="60" w:after="60" w:line="276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Total accounting profit after tax</w:t>
            </w:r>
            <w:r w:rsidR="00F810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9" w:type="dxa"/>
            <w:shd w:val="clear" w:color="auto" w:fill="auto"/>
          </w:tcPr>
          <w:p w:rsidR="00D814B2" w:rsidRPr="00C124FF" w:rsidRDefault="004B5207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23.915.102.203</w:t>
            </w:r>
          </w:p>
        </w:tc>
      </w:tr>
      <w:tr w:rsidR="00D814B2" w:rsidRPr="00C124FF">
        <w:tc>
          <w:tcPr>
            <w:tcW w:w="4309" w:type="dxa"/>
            <w:shd w:val="clear" w:color="auto" w:fill="auto"/>
          </w:tcPr>
          <w:p w:rsidR="00D814B2" w:rsidRPr="00C124FF" w:rsidRDefault="00D814B2" w:rsidP="007E32BA">
            <w:pPr>
              <w:numPr>
                <w:ilvl w:val="0"/>
                <w:numId w:val="26"/>
              </w:numPr>
              <w:tabs>
                <w:tab w:val="clear" w:pos="1440"/>
              </w:tabs>
              <w:spacing w:before="60" w:after="60" w:line="276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4FF">
              <w:rPr>
                <w:rFonts w:ascii="Arial" w:hAnsi="Arial" w:cs="Arial"/>
                <w:sz w:val="20"/>
                <w:szCs w:val="20"/>
              </w:rPr>
              <w:t>Accumulated losses from 2008-2016</w:t>
            </w:r>
            <w:r w:rsidR="00F810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9" w:type="dxa"/>
            <w:shd w:val="clear" w:color="auto" w:fill="auto"/>
          </w:tcPr>
          <w:p w:rsidR="00D814B2" w:rsidRPr="00C124FF" w:rsidRDefault="004B5207" w:rsidP="00C124FF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(142.276.033.075)</w:t>
            </w:r>
          </w:p>
        </w:tc>
      </w:tr>
    </w:tbl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At present, the Company is still in</w:t>
      </w:r>
      <w:r w:rsidR="007251E3">
        <w:rPr>
          <w:rFonts w:ascii="Arial" w:hAnsi="Arial" w:cs="Arial"/>
          <w:sz w:val="20"/>
          <w:szCs w:val="20"/>
        </w:rPr>
        <w:t xml:space="preserve"> the period of accumulated loss. T</w:t>
      </w:r>
      <w:r w:rsidRPr="00C124FF">
        <w:rPr>
          <w:rFonts w:ascii="Arial" w:hAnsi="Arial" w:cs="Arial"/>
          <w:sz w:val="20"/>
          <w:szCs w:val="20"/>
        </w:rPr>
        <w:t>herefore, the provisions of Article 132 - Enterprise Law of 2014 will be appli</w:t>
      </w:r>
      <w:r w:rsidR="00D70410">
        <w:rPr>
          <w:rFonts w:ascii="Arial" w:hAnsi="Arial" w:cs="Arial"/>
          <w:sz w:val="20"/>
          <w:szCs w:val="20"/>
        </w:rPr>
        <w:t>ed. A</w:t>
      </w:r>
      <w:r w:rsidR="00666A10">
        <w:rPr>
          <w:rFonts w:ascii="Arial" w:hAnsi="Arial" w:cs="Arial"/>
          <w:sz w:val="20"/>
          <w:szCs w:val="20"/>
        </w:rPr>
        <w:t xml:space="preserve">ll the profit after tax </w:t>
      </w:r>
      <w:r w:rsidRPr="00C124FF">
        <w:rPr>
          <w:rFonts w:ascii="Arial" w:hAnsi="Arial" w:cs="Arial"/>
          <w:sz w:val="20"/>
          <w:szCs w:val="20"/>
        </w:rPr>
        <w:t>2016 of the Company will b</w:t>
      </w:r>
      <w:r w:rsidR="00D70410">
        <w:rPr>
          <w:rFonts w:ascii="Arial" w:hAnsi="Arial" w:cs="Arial"/>
          <w:sz w:val="20"/>
          <w:szCs w:val="20"/>
        </w:rPr>
        <w:t>e used to make up</w:t>
      </w:r>
      <w:r w:rsidRPr="00C124FF">
        <w:rPr>
          <w:rFonts w:ascii="Arial" w:hAnsi="Arial" w:cs="Arial"/>
          <w:sz w:val="20"/>
          <w:szCs w:val="20"/>
        </w:rPr>
        <w:t xml:space="preserve"> the previous </w:t>
      </w:r>
      <w:r w:rsidR="00D70410">
        <w:rPr>
          <w:rFonts w:ascii="Arial" w:hAnsi="Arial" w:cs="Arial"/>
          <w:sz w:val="20"/>
          <w:szCs w:val="20"/>
        </w:rPr>
        <w:t>loss</w:t>
      </w:r>
      <w:r w:rsidRPr="00C124FF">
        <w:rPr>
          <w:rFonts w:ascii="Arial" w:hAnsi="Arial" w:cs="Arial"/>
          <w:sz w:val="20"/>
          <w:szCs w:val="20"/>
        </w:rPr>
        <w:t>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E66105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9D7C6A">
        <w:rPr>
          <w:rFonts w:ascii="Arial" w:hAnsi="Arial" w:cs="Arial"/>
          <w:b/>
          <w:sz w:val="20"/>
          <w:szCs w:val="20"/>
        </w:rPr>
        <w:t>Article 5:</w:t>
      </w:r>
      <w:r w:rsidR="009D7C6A">
        <w:rPr>
          <w:rFonts w:ascii="Arial" w:hAnsi="Arial" w:cs="Arial"/>
          <w:b/>
          <w:sz w:val="20"/>
          <w:szCs w:val="20"/>
        </w:rPr>
        <w:t xml:space="preserve"> Approve the r</w:t>
      </w:r>
      <w:r w:rsidRPr="009D7C6A">
        <w:rPr>
          <w:rFonts w:ascii="Arial" w:hAnsi="Arial" w:cs="Arial"/>
          <w:b/>
          <w:sz w:val="20"/>
          <w:szCs w:val="20"/>
        </w:rPr>
        <w:t xml:space="preserve">emuneration of the Board of Directors, Board of Supervisors in 2016 and </w:t>
      </w:r>
      <w:r w:rsidR="009D7C6A">
        <w:rPr>
          <w:rFonts w:ascii="Arial" w:hAnsi="Arial" w:cs="Arial"/>
          <w:b/>
          <w:sz w:val="20"/>
          <w:szCs w:val="20"/>
        </w:rPr>
        <w:t xml:space="preserve">expected </w:t>
      </w:r>
      <w:r w:rsidRPr="009D7C6A">
        <w:rPr>
          <w:rFonts w:ascii="Arial" w:hAnsi="Arial" w:cs="Arial"/>
          <w:b/>
          <w:sz w:val="20"/>
          <w:szCs w:val="20"/>
        </w:rPr>
        <w:t>remuneration for Board of Directors and Board</w:t>
      </w:r>
      <w:r w:rsidR="009D7C6A">
        <w:rPr>
          <w:rFonts w:ascii="Arial" w:hAnsi="Arial" w:cs="Arial"/>
          <w:b/>
          <w:sz w:val="20"/>
          <w:szCs w:val="20"/>
        </w:rPr>
        <w:t xml:space="preserve"> of </w:t>
      </w:r>
      <w:r w:rsidR="009D7C6A" w:rsidRPr="009D7C6A">
        <w:rPr>
          <w:rFonts w:ascii="Arial" w:hAnsi="Arial" w:cs="Arial"/>
          <w:b/>
          <w:sz w:val="20"/>
          <w:szCs w:val="20"/>
        </w:rPr>
        <w:t>Supervisors</w:t>
      </w:r>
      <w:r w:rsidRPr="009D7C6A">
        <w:rPr>
          <w:rFonts w:ascii="Arial" w:hAnsi="Arial" w:cs="Arial"/>
          <w:b/>
          <w:sz w:val="20"/>
          <w:szCs w:val="20"/>
        </w:rPr>
        <w:t xml:space="preserve"> in 2017</w:t>
      </w:r>
    </w:p>
    <w:p w:rsidR="00FE1C44" w:rsidRPr="009D7C6A" w:rsidRDefault="00FE1C44" w:rsidP="00FE1C44">
      <w:pPr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9D7C6A">
        <w:rPr>
          <w:rFonts w:ascii="Arial" w:hAnsi="Arial" w:cs="Arial"/>
          <w:b/>
          <w:sz w:val="20"/>
          <w:szCs w:val="20"/>
        </w:rPr>
        <w:t>emuneration of the Board of Directors, Board of Supervisors in 2016</w:t>
      </w:r>
      <w:r>
        <w:rPr>
          <w:rFonts w:ascii="Arial" w:hAnsi="Arial" w:cs="Arial"/>
          <w:b/>
          <w:sz w:val="20"/>
          <w:szCs w:val="20"/>
        </w:rPr>
        <w:t>: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- Chairman of the Board</w:t>
      </w:r>
      <w:r w:rsidR="000B3252">
        <w:rPr>
          <w:rFonts w:ascii="Arial" w:hAnsi="Arial" w:cs="Arial"/>
          <w:sz w:val="20"/>
          <w:szCs w:val="20"/>
        </w:rPr>
        <w:t xml:space="preserve"> </w:t>
      </w:r>
      <w:r w:rsidR="000B3252" w:rsidRPr="00C124FF">
        <w:rPr>
          <w:rFonts w:ascii="Arial" w:hAnsi="Arial" w:cs="Arial"/>
          <w:sz w:val="20"/>
          <w:szCs w:val="20"/>
        </w:rPr>
        <w:t>of Directors</w:t>
      </w:r>
      <w:r w:rsidRPr="00C124FF">
        <w:rPr>
          <w:rFonts w:ascii="Arial" w:hAnsi="Arial" w:cs="Arial"/>
          <w:sz w:val="20"/>
          <w:szCs w:val="20"/>
        </w:rPr>
        <w:t xml:space="preserve">: </w:t>
      </w:r>
      <w:r w:rsidR="000B3252">
        <w:rPr>
          <w:rFonts w:ascii="Arial" w:hAnsi="Arial" w:cs="Arial"/>
          <w:sz w:val="20"/>
          <w:szCs w:val="20"/>
        </w:rPr>
        <w:t>VND 2.000.</w:t>
      </w:r>
      <w:r w:rsidRPr="00C124FF">
        <w:rPr>
          <w:rFonts w:ascii="Arial" w:hAnsi="Arial" w:cs="Arial"/>
          <w:sz w:val="20"/>
          <w:szCs w:val="20"/>
        </w:rPr>
        <w:t>000</w:t>
      </w:r>
      <w:r w:rsidR="000B3252">
        <w:rPr>
          <w:rFonts w:ascii="Arial" w:hAnsi="Arial" w:cs="Arial"/>
          <w:sz w:val="20"/>
          <w:szCs w:val="20"/>
        </w:rPr>
        <w:t>/person/</w:t>
      </w:r>
      <w:r w:rsidRPr="00C124FF">
        <w:rPr>
          <w:rFonts w:ascii="Arial" w:hAnsi="Arial" w:cs="Arial"/>
          <w:sz w:val="20"/>
          <w:szCs w:val="20"/>
        </w:rPr>
        <w:t>month.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- Members of the Board of Directors, Head </w:t>
      </w:r>
      <w:r w:rsidR="000B3252">
        <w:rPr>
          <w:rFonts w:ascii="Arial" w:hAnsi="Arial" w:cs="Arial"/>
          <w:sz w:val="20"/>
          <w:szCs w:val="20"/>
        </w:rPr>
        <w:t>of the Board of</w:t>
      </w:r>
      <w:r w:rsidR="00D14C1F">
        <w:rPr>
          <w:rFonts w:ascii="Arial" w:hAnsi="Arial" w:cs="Arial"/>
          <w:sz w:val="20"/>
          <w:szCs w:val="20"/>
        </w:rPr>
        <w:t xml:space="preserve"> Supervisors: VND </w:t>
      </w:r>
      <w:r w:rsidR="000B3252">
        <w:rPr>
          <w:rFonts w:ascii="Arial" w:hAnsi="Arial" w:cs="Arial"/>
          <w:sz w:val="20"/>
          <w:szCs w:val="20"/>
        </w:rPr>
        <w:t>1.000.000/person/</w:t>
      </w:r>
      <w:r w:rsidRPr="00C124FF">
        <w:rPr>
          <w:rFonts w:ascii="Arial" w:hAnsi="Arial" w:cs="Arial"/>
          <w:sz w:val="20"/>
          <w:szCs w:val="20"/>
        </w:rPr>
        <w:t>month.</w:t>
      </w:r>
    </w:p>
    <w:p w:rsidR="00E66105" w:rsidRPr="00C124FF" w:rsidRDefault="000B3252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Members of the </w:t>
      </w:r>
      <w:r w:rsidR="00E66105" w:rsidRPr="00C124FF">
        <w:rPr>
          <w:rFonts w:ascii="Arial" w:hAnsi="Arial" w:cs="Arial"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 of Supervisors: 500.</w:t>
      </w:r>
      <w:r w:rsidR="00C40ED1">
        <w:rPr>
          <w:rFonts w:ascii="Arial" w:hAnsi="Arial" w:cs="Arial"/>
          <w:sz w:val="20"/>
          <w:szCs w:val="20"/>
        </w:rPr>
        <w:t>000 VND/person/</w:t>
      </w:r>
      <w:r w:rsidR="00E66105" w:rsidRPr="00C124FF">
        <w:rPr>
          <w:rFonts w:ascii="Arial" w:hAnsi="Arial" w:cs="Arial"/>
          <w:sz w:val="20"/>
          <w:szCs w:val="20"/>
        </w:rPr>
        <w:t>month.</w:t>
      </w:r>
    </w:p>
    <w:p w:rsidR="000B3252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The total remuneration paid to the Board of Directors, t</w:t>
      </w:r>
      <w:r w:rsidR="000B3252">
        <w:rPr>
          <w:rFonts w:ascii="Arial" w:hAnsi="Arial" w:cs="Arial"/>
          <w:sz w:val="20"/>
          <w:szCs w:val="20"/>
        </w:rPr>
        <w:t xml:space="preserve">he Board of Supervisors in 2017 is </w:t>
      </w:r>
      <w:r w:rsidR="000B3252" w:rsidRPr="000B3252">
        <w:rPr>
          <w:rFonts w:ascii="Arial" w:hAnsi="Arial" w:cs="Arial"/>
          <w:b/>
          <w:sz w:val="20"/>
          <w:szCs w:val="20"/>
        </w:rPr>
        <w:t>VND 88.500.000</w:t>
      </w:r>
      <w:r w:rsidR="000B3252">
        <w:rPr>
          <w:rFonts w:ascii="Arial" w:hAnsi="Arial" w:cs="Arial"/>
          <w:sz w:val="20"/>
          <w:szCs w:val="20"/>
        </w:rPr>
        <w:t xml:space="preserve"> </w:t>
      </w:r>
      <w:r w:rsidR="000B3252" w:rsidRPr="000B3252">
        <w:rPr>
          <w:rFonts w:ascii="Arial" w:hAnsi="Arial" w:cs="Arial"/>
          <w:i/>
          <w:sz w:val="20"/>
          <w:szCs w:val="20"/>
        </w:rPr>
        <w:t>(The amount in words: eighty eight million, five hundred thousand dong</w:t>
      </w:r>
      <w:r w:rsidR="002C5F00">
        <w:rPr>
          <w:rFonts w:ascii="Arial" w:hAnsi="Arial" w:cs="Arial"/>
          <w:i/>
          <w:sz w:val="20"/>
          <w:szCs w:val="20"/>
        </w:rPr>
        <w:t>s</w:t>
      </w:r>
      <w:r w:rsidR="000B3252" w:rsidRPr="000B3252">
        <w:rPr>
          <w:rFonts w:ascii="Arial" w:hAnsi="Arial" w:cs="Arial"/>
          <w:i/>
          <w:sz w:val="20"/>
          <w:szCs w:val="20"/>
        </w:rPr>
        <w:t>)</w:t>
      </w:r>
    </w:p>
    <w:p w:rsidR="00E66105" w:rsidRPr="001F46C1" w:rsidRDefault="007235D6" w:rsidP="007235D6">
      <w:pPr>
        <w:numPr>
          <w:ilvl w:val="0"/>
          <w:numId w:val="26"/>
        </w:numPr>
        <w:tabs>
          <w:tab w:val="clear" w:pos="1440"/>
        </w:tabs>
        <w:spacing w:before="60" w:after="60" w:line="276" w:lineRule="auto"/>
        <w:ind w:left="72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9D7C6A">
        <w:rPr>
          <w:rFonts w:ascii="Arial" w:hAnsi="Arial" w:cs="Arial"/>
          <w:b/>
          <w:sz w:val="20"/>
          <w:szCs w:val="20"/>
        </w:rPr>
        <w:t>emuneration of the Board of Directors, Board of Supervisors in 201</w:t>
      </w:r>
      <w:r>
        <w:rPr>
          <w:rFonts w:ascii="Arial" w:hAnsi="Arial" w:cs="Arial"/>
          <w:b/>
          <w:sz w:val="20"/>
          <w:szCs w:val="20"/>
        </w:rPr>
        <w:t xml:space="preserve">7: </w:t>
      </w:r>
      <w:r w:rsidRPr="001F46C1">
        <w:rPr>
          <w:rFonts w:ascii="Arial" w:hAnsi="Arial" w:cs="Arial"/>
          <w:sz w:val="20"/>
          <w:szCs w:val="20"/>
        </w:rPr>
        <w:t xml:space="preserve">will </w:t>
      </w:r>
      <w:r w:rsidR="001F46C1" w:rsidRPr="001F46C1">
        <w:rPr>
          <w:rFonts w:ascii="Arial" w:hAnsi="Arial" w:cs="Arial"/>
          <w:sz w:val="20"/>
          <w:szCs w:val="20"/>
        </w:rPr>
        <w:t xml:space="preserve">be </w:t>
      </w:r>
      <w:r w:rsidR="00E66105" w:rsidRPr="001F46C1">
        <w:rPr>
          <w:rFonts w:ascii="Arial" w:hAnsi="Arial" w:cs="Arial"/>
          <w:sz w:val="20"/>
          <w:szCs w:val="20"/>
        </w:rPr>
        <w:t>decide</w:t>
      </w:r>
      <w:r w:rsidR="001F46C1">
        <w:rPr>
          <w:rFonts w:ascii="Arial" w:hAnsi="Arial" w:cs="Arial"/>
          <w:sz w:val="20"/>
          <w:szCs w:val="20"/>
        </w:rPr>
        <w:t>d</w:t>
      </w:r>
      <w:r w:rsidR="00E66105" w:rsidRPr="001F46C1">
        <w:rPr>
          <w:rFonts w:ascii="Arial" w:hAnsi="Arial" w:cs="Arial"/>
          <w:sz w:val="20"/>
          <w:szCs w:val="20"/>
        </w:rPr>
        <w:t xml:space="preserve"> based on the results of production and busi</w:t>
      </w:r>
      <w:r w:rsidR="002C5F00">
        <w:rPr>
          <w:rFonts w:ascii="Arial" w:hAnsi="Arial" w:cs="Arial"/>
          <w:sz w:val="20"/>
          <w:szCs w:val="20"/>
        </w:rPr>
        <w:t>ness activities in 2017 of the c</w:t>
      </w:r>
      <w:r w:rsidR="00E66105" w:rsidRPr="001F46C1">
        <w:rPr>
          <w:rFonts w:ascii="Arial" w:hAnsi="Arial" w:cs="Arial"/>
          <w:sz w:val="20"/>
          <w:szCs w:val="20"/>
        </w:rPr>
        <w:t>ompany</w:t>
      </w:r>
    </w:p>
    <w:p w:rsidR="00E501E6" w:rsidRDefault="00E501E6" w:rsidP="00E501E6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2B492A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E501E6">
        <w:rPr>
          <w:rFonts w:ascii="Arial" w:hAnsi="Arial" w:cs="Arial"/>
          <w:b/>
          <w:sz w:val="20"/>
          <w:szCs w:val="20"/>
        </w:rPr>
        <w:t>Article 6:</w:t>
      </w:r>
      <w:r w:rsidR="00E501E6">
        <w:rPr>
          <w:rFonts w:ascii="Arial" w:hAnsi="Arial" w:cs="Arial"/>
          <w:sz w:val="20"/>
          <w:szCs w:val="20"/>
        </w:rPr>
        <w:t xml:space="preserve"> Approve</w:t>
      </w:r>
      <w:r w:rsidR="000D0860">
        <w:rPr>
          <w:rFonts w:ascii="Arial" w:hAnsi="Arial" w:cs="Arial"/>
          <w:sz w:val="20"/>
          <w:szCs w:val="20"/>
        </w:rPr>
        <w:t xml:space="preserve"> </w:t>
      </w:r>
      <w:r w:rsidR="001B6D02">
        <w:rPr>
          <w:rFonts w:ascii="Arial" w:hAnsi="Arial" w:cs="Arial"/>
          <w:color w:val="222222"/>
          <w:sz w:val="20"/>
          <w:szCs w:val="20"/>
          <w:shd w:val="clear" w:color="auto" w:fill="FFFFFF"/>
        </w:rPr>
        <w:t>Chief Executive Officer</w:t>
      </w:r>
      <w:r w:rsidR="001B6D0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60C8">
        <w:rPr>
          <w:rFonts w:ascii="Arial" w:hAnsi="Arial" w:cs="Arial"/>
          <w:sz w:val="20"/>
          <w:szCs w:val="20"/>
        </w:rPr>
        <w:t>cum</w:t>
      </w:r>
      <w:r w:rsidR="001C69D8">
        <w:rPr>
          <w:rFonts w:ascii="Arial" w:hAnsi="Arial" w:cs="Arial"/>
          <w:sz w:val="20"/>
          <w:szCs w:val="20"/>
        </w:rPr>
        <w:t xml:space="preserve"> </w:t>
      </w:r>
      <w:r w:rsidR="000D0860">
        <w:rPr>
          <w:rFonts w:ascii="Arial" w:hAnsi="Arial" w:cs="Arial"/>
          <w:sz w:val="20"/>
          <w:szCs w:val="20"/>
        </w:rPr>
        <w:t>Chairman</w:t>
      </w:r>
      <w:r w:rsidRPr="00C124FF">
        <w:rPr>
          <w:rFonts w:ascii="Arial" w:hAnsi="Arial" w:cs="Arial"/>
          <w:sz w:val="20"/>
          <w:szCs w:val="20"/>
        </w:rPr>
        <w:t xml:space="preserve"> of the Board of Directors</w:t>
      </w:r>
      <w:r w:rsidR="000D0860">
        <w:rPr>
          <w:rFonts w:ascii="Arial" w:hAnsi="Arial" w:cs="Arial"/>
          <w:sz w:val="20"/>
          <w:szCs w:val="20"/>
        </w:rPr>
        <w:t>: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 Approv</w:t>
      </w:r>
      <w:r w:rsidR="002B492A">
        <w:rPr>
          <w:rFonts w:ascii="Arial" w:hAnsi="Arial" w:cs="Arial"/>
          <w:sz w:val="20"/>
          <w:szCs w:val="20"/>
        </w:rPr>
        <w:t xml:space="preserve">e </w:t>
      </w:r>
      <w:r w:rsidRPr="00C124FF">
        <w:rPr>
          <w:rFonts w:ascii="Arial" w:hAnsi="Arial" w:cs="Arial"/>
          <w:sz w:val="20"/>
          <w:szCs w:val="20"/>
        </w:rPr>
        <w:t xml:space="preserve">Mr. Mai The Loan - Chairman of the Board of Directors continues </w:t>
      </w:r>
      <w:r w:rsidR="002B492A">
        <w:rPr>
          <w:rFonts w:ascii="Arial" w:hAnsi="Arial" w:cs="Arial"/>
          <w:sz w:val="20"/>
          <w:szCs w:val="20"/>
        </w:rPr>
        <w:t xml:space="preserve">to hold the position of </w:t>
      </w:r>
      <w:r w:rsidR="002B492A">
        <w:rPr>
          <w:rFonts w:ascii="Arial" w:hAnsi="Arial" w:cs="Arial"/>
          <w:color w:val="222222"/>
          <w:sz w:val="20"/>
          <w:szCs w:val="20"/>
          <w:shd w:val="clear" w:color="auto" w:fill="FFFFFF"/>
        </w:rPr>
        <w:t>Chief Executive Officer</w:t>
      </w:r>
      <w:r w:rsidR="002B492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of</w:t>
      </w:r>
      <w:r w:rsidR="002B492A" w:rsidRPr="00C124FF">
        <w:rPr>
          <w:rFonts w:ascii="Arial" w:hAnsi="Arial" w:cs="Arial"/>
          <w:sz w:val="20"/>
          <w:szCs w:val="20"/>
        </w:rPr>
        <w:t xml:space="preserve"> </w:t>
      </w:r>
      <w:r w:rsidRPr="00C124FF">
        <w:rPr>
          <w:rFonts w:ascii="Arial" w:hAnsi="Arial" w:cs="Arial"/>
          <w:sz w:val="20"/>
          <w:szCs w:val="20"/>
        </w:rPr>
        <w:t>the Company.</w:t>
      </w:r>
    </w:p>
    <w:p w:rsidR="008B2783" w:rsidRDefault="008B2783" w:rsidP="008B2783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E66105" w:rsidRPr="008B2783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</w:p>
    <w:p w:rsidR="00E66105" w:rsidRPr="008B2783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8B2783">
        <w:rPr>
          <w:rFonts w:ascii="Arial" w:hAnsi="Arial" w:cs="Arial"/>
          <w:b/>
          <w:sz w:val="20"/>
          <w:szCs w:val="20"/>
        </w:rPr>
        <w:t>Article 7:</w:t>
      </w:r>
      <w:r w:rsidR="008B2783">
        <w:rPr>
          <w:rFonts w:ascii="Arial" w:hAnsi="Arial" w:cs="Arial"/>
          <w:b/>
          <w:sz w:val="20"/>
          <w:szCs w:val="20"/>
        </w:rPr>
        <w:t xml:space="preserve"> Approve the investment in thermoelectricity project</w:t>
      </w:r>
      <w:r w:rsidRPr="008B2783">
        <w:rPr>
          <w:rFonts w:ascii="Arial" w:hAnsi="Arial" w:cs="Arial"/>
          <w:b/>
          <w:sz w:val="20"/>
          <w:szCs w:val="20"/>
        </w:rPr>
        <w:t xml:space="preserve"> with the following principal contents:</w:t>
      </w:r>
    </w:p>
    <w:p w:rsidR="00E66105" w:rsidRPr="00C124FF" w:rsidRDefault="008B2783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Approve</w:t>
      </w:r>
      <w:r w:rsidR="00E66105" w:rsidRPr="00C124FF">
        <w:rPr>
          <w:rFonts w:ascii="Arial" w:hAnsi="Arial" w:cs="Arial"/>
          <w:sz w:val="20"/>
          <w:szCs w:val="20"/>
        </w:rPr>
        <w:t xml:space="preserve"> the implementation of the project "Investment in utilizing </w:t>
      </w:r>
      <w:r w:rsidRPr="00C124FF">
        <w:rPr>
          <w:rFonts w:ascii="Arial" w:hAnsi="Arial" w:cs="Arial"/>
          <w:sz w:val="20"/>
          <w:szCs w:val="20"/>
        </w:rPr>
        <w:t xml:space="preserve">exhaust gas </w:t>
      </w:r>
      <w:r>
        <w:rPr>
          <w:rFonts w:ascii="Arial" w:hAnsi="Arial" w:cs="Arial"/>
          <w:sz w:val="20"/>
          <w:szCs w:val="20"/>
        </w:rPr>
        <w:t xml:space="preserve">of </w:t>
      </w:r>
      <w:r w:rsidR="00E66105" w:rsidRPr="00C124FF">
        <w:rPr>
          <w:rFonts w:ascii="Arial" w:hAnsi="Arial" w:cs="Arial"/>
          <w:sz w:val="20"/>
          <w:szCs w:val="20"/>
        </w:rPr>
        <w:t xml:space="preserve">the Clinker furnace for </w:t>
      </w:r>
      <w:r>
        <w:rPr>
          <w:rFonts w:ascii="Arial" w:hAnsi="Arial" w:cs="Arial"/>
          <w:sz w:val="20"/>
          <w:szCs w:val="20"/>
        </w:rPr>
        <w:t xml:space="preserve">electricity generation" </w:t>
      </w:r>
      <w:r w:rsidR="00E66105" w:rsidRPr="00C124FF">
        <w:rPr>
          <w:rFonts w:ascii="Arial" w:hAnsi="Arial" w:cs="Arial"/>
          <w:sz w:val="20"/>
          <w:szCs w:val="20"/>
        </w:rPr>
        <w:t>invested by Yen Binh Cement Joint Stock Company.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2. </w:t>
      </w:r>
      <w:r w:rsidR="001B0345">
        <w:rPr>
          <w:rFonts w:ascii="Arial" w:hAnsi="Arial" w:cs="Arial"/>
          <w:sz w:val="20"/>
          <w:szCs w:val="20"/>
        </w:rPr>
        <w:t>Approve</w:t>
      </w:r>
      <w:r w:rsidRPr="00C124FF">
        <w:rPr>
          <w:rFonts w:ascii="Arial" w:hAnsi="Arial" w:cs="Arial"/>
          <w:sz w:val="20"/>
          <w:szCs w:val="20"/>
        </w:rPr>
        <w:t xml:space="preserve"> the selection of contractor SCW (HONGKONG) INT</w:t>
      </w:r>
      <w:r w:rsidR="001B0345">
        <w:rPr>
          <w:rFonts w:ascii="Arial" w:hAnsi="Arial" w:cs="Arial"/>
          <w:sz w:val="20"/>
          <w:szCs w:val="20"/>
        </w:rPr>
        <w:t>ERNATIONAL GROUP CO., LIMITED to be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="007E60C8" w:rsidRPr="00C124FF">
        <w:rPr>
          <w:rFonts w:ascii="Arial" w:hAnsi="Arial" w:cs="Arial"/>
          <w:sz w:val="20"/>
          <w:szCs w:val="20"/>
        </w:rPr>
        <w:t>an</w:t>
      </w:r>
      <w:r w:rsidR="001B0345">
        <w:rPr>
          <w:rFonts w:ascii="Arial" w:hAnsi="Arial" w:cs="Arial"/>
          <w:sz w:val="20"/>
          <w:szCs w:val="20"/>
        </w:rPr>
        <w:t xml:space="preserve"> </w:t>
      </w:r>
      <w:r w:rsidR="001B0345" w:rsidRPr="00C124FF">
        <w:rPr>
          <w:rFonts w:ascii="Arial" w:hAnsi="Arial" w:cs="Arial"/>
          <w:sz w:val="20"/>
          <w:szCs w:val="20"/>
        </w:rPr>
        <w:t>authorized</w:t>
      </w:r>
      <w:r w:rsidRPr="00C124FF">
        <w:rPr>
          <w:rFonts w:ascii="Arial" w:hAnsi="Arial" w:cs="Arial"/>
          <w:sz w:val="20"/>
          <w:szCs w:val="20"/>
        </w:rPr>
        <w:t xml:space="preserve"> unit by CITIC Heavy Industry Group to sign the project implementation contract.</w:t>
      </w:r>
    </w:p>
    <w:p w:rsidR="00E66105" w:rsidRPr="00C124FF" w:rsidRDefault="001B034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</w:t>
      </w:r>
      <w:r w:rsidR="00E66105" w:rsidRPr="00C124FF">
        <w:rPr>
          <w:rFonts w:ascii="Arial" w:hAnsi="Arial" w:cs="Arial"/>
          <w:sz w:val="20"/>
          <w:szCs w:val="20"/>
        </w:rPr>
        <w:t xml:space="preserve">uthorize the Board </w:t>
      </w:r>
      <w:r>
        <w:rPr>
          <w:rFonts w:ascii="Arial" w:hAnsi="Arial" w:cs="Arial"/>
          <w:sz w:val="20"/>
          <w:szCs w:val="20"/>
        </w:rPr>
        <w:t xml:space="preserve">of Directors </w:t>
      </w:r>
      <w:r w:rsidR="00E66105" w:rsidRPr="00C124FF">
        <w:rPr>
          <w:rFonts w:ascii="Arial" w:hAnsi="Arial" w:cs="Arial"/>
          <w:sz w:val="20"/>
          <w:szCs w:val="20"/>
        </w:rPr>
        <w:t>to decide on the following contents of the project: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- Select the appropriate investment form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- Determine the price, terms of the contract.</w:t>
      </w:r>
    </w:p>
    <w:p w:rsidR="00E66105" w:rsidRDefault="001C69D8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Work</w:t>
      </w:r>
      <w:r w:rsidR="00E66105" w:rsidRPr="00C124FF">
        <w:rPr>
          <w:rFonts w:ascii="Arial" w:hAnsi="Arial" w:cs="Arial"/>
          <w:sz w:val="20"/>
          <w:szCs w:val="20"/>
        </w:rPr>
        <w:t xml:space="preserve"> with credit</w:t>
      </w:r>
      <w:r>
        <w:rPr>
          <w:rFonts w:ascii="Arial" w:hAnsi="Arial" w:cs="Arial"/>
          <w:sz w:val="20"/>
          <w:szCs w:val="20"/>
        </w:rPr>
        <w:t xml:space="preserve"> institutions to borrow capital;</w:t>
      </w:r>
      <w:r w:rsidR="00E66105" w:rsidRPr="00C124FF">
        <w:rPr>
          <w:rFonts w:ascii="Arial" w:hAnsi="Arial" w:cs="Arial"/>
          <w:sz w:val="20"/>
          <w:szCs w:val="20"/>
        </w:rPr>
        <w:t xml:space="preserve"> working with state management agencies to enjoy preferential regimes as prescribed by the Government.</w:t>
      </w:r>
    </w:p>
    <w:p w:rsidR="005C30C4" w:rsidRPr="005C30C4" w:rsidRDefault="005C30C4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C30C4">
        <w:rPr>
          <w:rFonts w:ascii="Arial" w:hAnsi="Arial" w:cs="Arial"/>
          <w:sz w:val="20"/>
          <w:szCs w:val="20"/>
        </w:rPr>
        <w:t>Other relevant work</w:t>
      </w:r>
      <w:r>
        <w:rPr>
          <w:rFonts w:ascii="Arial" w:hAnsi="Arial" w:cs="Arial"/>
          <w:sz w:val="20"/>
          <w:szCs w:val="20"/>
        </w:rPr>
        <w:t>s</w:t>
      </w:r>
      <w:r w:rsidRPr="005C30C4">
        <w:rPr>
          <w:rFonts w:ascii="Arial" w:hAnsi="Arial" w:cs="Arial"/>
          <w:sz w:val="20"/>
          <w:szCs w:val="20"/>
        </w:rPr>
        <w:t xml:space="preserve"> to implement the project</w:t>
      </w:r>
      <w:r w:rsidR="001C69D8">
        <w:rPr>
          <w:rFonts w:ascii="Arial" w:hAnsi="Arial" w:cs="Arial"/>
          <w:sz w:val="20"/>
          <w:szCs w:val="20"/>
        </w:rPr>
        <w:t>.</w:t>
      </w:r>
    </w:p>
    <w:p w:rsidR="00941197" w:rsidRDefault="00941197" w:rsidP="00941197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lastRenderedPageBreak/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941197">
        <w:rPr>
          <w:rFonts w:ascii="Arial" w:hAnsi="Arial" w:cs="Arial"/>
          <w:b/>
          <w:sz w:val="20"/>
          <w:szCs w:val="20"/>
        </w:rPr>
        <w:t>Article 8:</w:t>
      </w:r>
      <w:r w:rsidR="00941197">
        <w:rPr>
          <w:rFonts w:ascii="Arial" w:hAnsi="Arial" w:cs="Arial"/>
          <w:sz w:val="20"/>
          <w:szCs w:val="20"/>
        </w:rPr>
        <w:t xml:space="preserve"> Approve t</w:t>
      </w:r>
      <w:r w:rsidRPr="00C124FF">
        <w:rPr>
          <w:rFonts w:ascii="Arial" w:hAnsi="Arial" w:cs="Arial"/>
          <w:sz w:val="20"/>
          <w:szCs w:val="20"/>
        </w:rPr>
        <w:t>he Report of the Board of Supervisors on activitie</w:t>
      </w:r>
      <w:r w:rsidR="00146E4C">
        <w:rPr>
          <w:rFonts w:ascii="Arial" w:hAnsi="Arial" w:cs="Arial"/>
          <w:sz w:val="20"/>
          <w:szCs w:val="20"/>
        </w:rPr>
        <w:t>s in 2016, results of supervisory</w:t>
      </w:r>
      <w:r w:rsidRPr="00C124FF">
        <w:rPr>
          <w:rFonts w:ascii="Arial" w:hAnsi="Arial" w:cs="Arial"/>
          <w:sz w:val="20"/>
          <w:szCs w:val="20"/>
        </w:rPr>
        <w:t xml:space="preserve"> activities of the Board of Director</w:t>
      </w:r>
      <w:r w:rsidR="00146E4C">
        <w:rPr>
          <w:rFonts w:ascii="Arial" w:hAnsi="Arial" w:cs="Arial"/>
          <w:sz w:val="20"/>
          <w:szCs w:val="20"/>
        </w:rPr>
        <w:t xml:space="preserve">s, Executive Board 2016 and </w:t>
      </w:r>
      <w:r w:rsidRPr="00C124FF">
        <w:rPr>
          <w:rFonts w:ascii="Arial" w:hAnsi="Arial" w:cs="Arial"/>
          <w:sz w:val="20"/>
          <w:szCs w:val="20"/>
        </w:rPr>
        <w:t>plan of operation in 2017.</w:t>
      </w:r>
    </w:p>
    <w:p w:rsidR="00F6171A" w:rsidRPr="0004471C" w:rsidRDefault="00F6171A" w:rsidP="00F6171A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 w:rsidRPr="0004471C">
        <w:rPr>
          <w:rFonts w:ascii="Arial" w:hAnsi="Arial" w:cs="Arial"/>
          <w:i/>
          <w:sz w:val="20"/>
          <w:szCs w:val="20"/>
        </w:rPr>
        <w:t xml:space="preserve">(Details of the report of the Executive Board </w:t>
      </w:r>
      <w:r>
        <w:rPr>
          <w:rFonts w:ascii="Arial" w:hAnsi="Arial" w:cs="Arial"/>
          <w:i/>
          <w:sz w:val="20"/>
          <w:szCs w:val="20"/>
        </w:rPr>
        <w:t xml:space="preserve">were </w:t>
      </w:r>
      <w:r w:rsidRPr="0004471C">
        <w:rPr>
          <w:rFonts w:ascii="Arial" w:hAnsi="Arial" w:cs="Arial"/>
          <w:i/>
          <w:sz w:val="20"/>
          <w:szCs w:val="20"/>
        </w:rPr>
        <w:t>attached to the minutes of the General Meeting of Shareholders)</w:t>
      </w:r>
    </w:p>
    <w:p w:rsidR="00F6171A" w:rsidRDefault="00F6171A" w:rsidP="00F6171A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B6559F">
        <w:rPr>
          <w:rFonts w:ascii="Arial" w:hAnsi="Arial" w:cs="Arial"/>
          <w:b/>
          <w:sz w:val="20"/>
          <w:szCs w:val="20"/>
        </w:rPr>
        <w:t>Article 9:</w:t>
      </w:r>
      <w:r w:rsidR="00B6559F">
        <w:rPr>
          <w:rFonts w:ascii="Arial" w:hAnsi="Arial" w:cs="Arial"/>
          <w:sz w:val="20"/>
          <w:szCs w:val="20"/>
        </w:rPr>
        <w:t xml:space="preserve"> Approve </w:t>
      </w:r>
      <w:r w:rsidRPr="00C124FF">
        <w:rPr>
          <w:rFonts w:ascii="Arial" w:hAnsi="Arial" w:cs="Arial"/>
          <w:sz w:val="20"/>
          <w:szCs w:val="20"/>
        </w:rPr>
        <w:t xml:space="preserve">the report of the Board of Supervisors on the selection of </w:t>
      </w:r>
      <w:r w:rsidR="00B6559F">
        <w:rPr>
          <w:rFonts w:ascii="Arial" w:hAnsi="Arial" w:cs="Arial"/>
          <w:sz w:val="20"/>
          <w:szCs w:val="20"/>
        </w:rPr>
        <w:t xml:space="preserve">unit to review </w:t>
      </w:r>
      <w:r w:rsidRPr="00C124FF">
        <w:rPr>
          <w:rFonts w:ascii="Arial" w:hAnsi="Arial" w:cs="Arial"/>
          <w:sz w:val="20"/>
          <w:szCs w:val="20"/>
        </w:rPr>
        <w:t xml:space="preserve">the semi-annual </w:t>
      </w:r>
      <w:r w:rsidR="00B6559F">
        <w:rPr>
          <w:rFonts w:ascii="Arial" w:hAnsi="Arial" w:cs="Arial"/>
          <w:sz w:val="20"/>
          <w:szCs w:val="20"/>
        </w:rPr>
        <w:t>financial statement</w:t>
      </w:r>
      <w:r w:rsidRPr="00C124FF">
        <w:rPr>
          <w:rFonts w:ascii="Arial" w:hAnsi="Arial" w:cs="Arial"/>
          <w:sz w:val="20"/>
          <w:szCs w:val="20"/>
        </w:rPr>
        <w:t xml:space="preserve"> and </w:t>
      </w:r>
      <w:r w:rsidR="00B6559F">
        <w:rPr>
          <w:rFonts w:ascii="Arial" w:hAnsi="Arial" w:cs="Arial"/>
          <w:sz w:val="20"/>
          <w:szCs w:val="20"/>
        </w:rPr>
        <w:t>audit financial statement.</w:t>
      </w:r>
    </w:p>
    <w:p w:rsidR="00E66105" w:rsidRPr="00C124FF" w:rsidRDefault="00E66105" w:rsidP="002D3175">
      <w:pPr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Approve the list of units:</w:t>
      </w:r>
    </w:p>
    <w:p w:rsidR="00E66105" w:rsidRPr="00C124FF" w:rsidRDefault="00E66105" w:rsidP="008B6B28">
      <w:pPr>
        <w:numPr>
          <w:ilvl w:val="1"/>
          <w:numId w:val="2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An Viet Audit</w:t>
      </w:r>
      <w:r w:rsidR="001365C1"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Company Limited</w:t>
      </w:r>
      <w:r w:rsidR="001365C1">
        <w:rPr>
          <w:rFonts w:ascii="Arial" w:hAnsi="Arial" w:cs="Arial"/>
          <w:sz w:val="20"/>
          <w:szCs w:val="20"/>
        </w:rPr>
        <w:t>.</w:t>
      </w:r>
    </w:p>
    <w:p w:rsidR="00E66105" w:rsidRPr="00C124FF" w:rsidRDefault="001365C1" w:rsidP="008B6B28">
      <w:pPr>
        <w:numPr>
          <w:ilvl w:val="1"/>
          <w:numId w:val="2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AASC Auditing Company Limited.</w:t>
      </w:r>
    </w:p>
    <w:p w:rsidR="00E66105" w:rsidRPr="00C124FF" w:rsidRDefault="00E66105" w:rsidP="002D3175">
      <w:pPr>
        <w:numPr>
          <w:ilvl w:val="0"/>
          <w:numId w:val="26"/>
        </w:numPr>
        <w:tabs>
          <w:tab w:val="clear" w:pos="1440"/>
        </w:tabs>
        <w:spacing w:before="60" w:after="60" w:line="276" w:lineRule="auto"/>
        <w:ind w:left="720" w:firstLine="36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Authorize the Board o</w:t>
      </w:r>
      <w:r w:rsidR="001365C1">
        <w:rPr>
          <w:rFonts w:ascii="Arial" w:hAnsi="Arial" w:cs="Arial"/>
          <w:sz w:val="20"/>
          <w:szCs w:val="20"/>
        </w:rPr>
        <w:t>f Directors to select an auditing unit</w:t>
      </w:r>
      <w:r w:rsidRPr="00C124FF">
        <w:rPr>
          <w:rFonts w:ascii="Arial" w:hAnsi="Arial" w:cs="Arial"/>
          <w:sz w:val="20"/>
          <w:szCs w:val="20"/>
        </w:rPr>
        <w:t xml:space="preserve"> from the list above to review the company's semi-annual </w:t>
      </w:r>
      <w:r w:rsidR="001365C1">
        <w:rPr>
          <w:rFonts w:ascii="Arial" w:hAnsi="Arial" w:cs="Arial"/>
          <w:sz w:val="20"/>
          <w:szCs w:val="20"/>
        </w:rPr>
        <w:t>financial statements and audit</w:t>
      </w:r>
      <w:r w:rsidRPr="00C124FF">
        <w:rPr>
          <w:rFonts w:ascii="Arial" w:hAnsi="Arial" w:cs="Arial"/>
          <w:sz w:val="20"/>
          <w:szCs w:val="20"/>
        </w:rPr>
        <w:t xml:space="preserve"> its financial statements for 2017.</w:t>
      </w:r>
    </w:p>
    <w:p w:rsidR="00BC7890" w:rsidRDefault="00BC7890" w:rsidP="00BC7890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C7581B" w:rsidRPr="002D3175" w:rsidRDefault="00C7581B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</w:p>
    <w:p w:rsidR="00E66105" w:rsidRPr="002D3175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2D3175">
        <w:rPr>
          <w:rFonts w:ascii="Arial" w:hAnsi="Arial" w:cs="Arial"/>
          <w:b/>
          <w:sz w:val="20"/>
          <w:szCs w:val="20"/>
        </w:rPr>
        <w:t>Article 10:</w:t>
      </w:r>
      <w:r w:rsidR="00C7581B" w:rsidRPr="002D3175">
        <w:rPr>
          <w:rFonts w:ascii="Arial" w:hAnsi="Arial" w:cs="Arial"/>
          <w:b/>
          <w:sz w:val="20"/>
          <w:szCs w:val="20"/>
        </w:rPr>
        <w:t xml:space="preserve"> Approve the dismissal and </w:t>
      </w:r>
      <w:r w:rsidRPr="002D3175">
        <w:rPr>
          <w:rFonts w:ascii="Arial" w:hAnsi="Arial" w:cs="Arial"/>
          <w:b/>
          <w:sz w:val="20"/>
          <w:szCs w:val="20"/>
        </w:rPr>
        <w:t>appointment of members of the Board of Directors term 2014-2019</w:t>
      </w:r>
    </w:p>
    <w:p w:rsidR="00E66105" w:rsidRPr="00C124FF" w:rsidRDefault="002D3175" w:rsidP="008B6B28">
      <w:pPr>
        <w:numPr>
          <w:ilvl w:val="0"/>
          <w:numId w:val="28"/>
        </w:numPr>
        <w:tabs>
          <w:tab w:val="clear" w:pos="2160"/>
        </w:tabs>
        <w:spacing w:before="60" w:after="60" w:line="276" w:lineRule="auto"/>
        <w:ind w:left="72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</w:t>
      </w:r>
      <w:r w:rsidR="00E66105" w:rsidRPr="00C124FF">
        <w:rPr>
          <w:rFonts w:ascii="Arial" w:hAnsi="Arial" w:cs="Arial"/>
          <w:sz w:val="20"/>
          <w:szCs w:val="20"/>
        </w:rPr>
        <w:t xml:space="preserve"> the resignation of the member of the Board of Directors for the term of</w:t>
      </w:r>
      <w:r w:rsidR="00C7581B">
        <w:rPr>
          <w:rFonts w:ascii="Arial" w:hAnsi="Arial" w:cs="Arial"/>
          <w:sz w:val="20"/>
          <w:szCs w:val="20"/>
        </w:rPr>
        <w:t xml:space="preserve"> 2014-2019 for </w:t>
      </w:r>
      <w:r w:rsidR="007E60C8">
        <w:rPr>
          <w:rFonts w:ascii="Arial" w:hAnsi="Arial" w:cs="Arial"/>
          <w:sz w:val="20"/>
          <w:szCs w:val="20"/>
        </w:rPr>
        <w:t>Mr.</w:t>
      </w:r>
      <w:r>
        <w:rPr>
          <w:rFonts w:ascii="Arial" w:hAnsi="Arial" w:cs="Arial"/>
          <w:sz w:val="20"/>
          <w:szCs w:val="20"/>
        </w:rPr>
        <w:t xml:space="preserve"> </w:t>
      </w:r>
      <w:r w:rsidR="00C7581B" w:rsidRPr="002D3175">
        <w:rPr>
          <w:rFonts w:ascii="Arial" w:hAnsi="Arial" w:cs="Arial"/>
          <w:b/>
          <w:sz w:val="20"/>
          <w:szCs w:val="20"/>
        </w:rPr>
        <w:t>Nguyen Quang Huy.</w:t>
      </w:r>
    </w:p>
    <w:p w:rsidR="00E66105" w:rsidRPr="00C124FF" w:rsidRDefault="008B6B28" w:rsidP="008B6B28">
      <w:pPr>
        <w:numPr>
          <w:ilvl w:val="0"/>
          <w:numId w:val="28"/>
        </w:numPr>
        <w:tabs>
          <w:tab w:val="clear" w:pos="2160"/>
        </w:tabs>
        <w:spacing w:before="60" w:after="60" w:line="276" w:lineRule="auto"/>
        <w:ind w:left="72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the appointment of member of</w:t>
      </w:r>
      <w:r w:rsidR="00E66105" w:rsidRPr="00C124FF">
        <w:rPr>
          <w:rFonts w:ascii="Arial" w:hAnsi="Arial" w:cs="Arial"/>
          <w:sz w:val="20"/>
          <w:szCs w:val="20"/>
        </w:rPr>
        <w:t xml:space="preserve"> the Board of Directors for the term of 2014-2019 for </w:t>
      </w:r>
      <w:r w:rsidR="00E66105" w:rsidRPr="008B6B28">
        <w:rPr>
          <w:rFonts w:ascii="Arial" w:hAnsi="Arial" w:cs="Arial"/>
          <w:b/>
          <w:sz w:val="20"/>
          <w:szCs w:val="20"/>
        </w:rPr>
        <w:t>Mr. Le Huu Toan</w:t>
      </w:r>
      <w:r w:rsidR="00E66105" w:rsidRPr="00C124FF">
        <w:rPr>
          <w:rFonts w:ascii="Arial" w:hAnsi="Arial" w:cs="Arial"/>
          <w:sz w:val="20"/>
          <w:szCs w:val="20"/>
        </w:rPr>
        <w:t xml:space="preserve">, </w:t>
      </w:r>
      <w:r w:rsidR="00C63A5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oreman </w:t>
      </w:r>
      <w:r w:rsidR="00E66105" w:rsidRPr="00C124FF">
        <w:rPr>
          <w:rFonts w:ascii="Arial" w:hAnsi="Arial" w:cs="Arial"/>
          <w:sz w:val="20"/>
          <w:szCs w:val="20"/>
        </w:rPr>
        <w:t>of Cement Factory - Yen Binh Cement Joint Stock Company.</w:t>
      </w:r>
    </w:p>
    <w:p w:rsidR="00BC7890" w:rsidRDefault="00BC7890" w:rsidP="00BC7890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Pr="00C124FF">
        <w:rPr>
          <w:rFonts w:ascii="Arial" w:hAnsi="Arial" w:cs="Arial"/>
          <w:sz w:val="20"/>
          <w:szCs w:val="20"/>
        </w:rPr>
        <w:t xml:space="preserve"> of Shareholders voted with the percenta</w:t>
      </w:r>
      <w:r>
        <w:rPr>
          <w:rFonts w:ascii="Arial" w:hAnsi="Arial" w:cs="Arial"/>
          <w:sz w:val="20"/>
          <w:szCs w:val="20"/>
        </w:rPr>
        <w:t xml:space="preserve">ge of voting shares </w:t>
      </w:r>
      <w:r w:rsidRPr="00C124FF">
        <w:rPr>
          <w:rFonts w:ascii="Arial" w:hAnsi="Arial" w:cs="Arial"/>
          <w:sz w:val="20"/>
          <w:szCs w:val="20"/>
        </w:rPr>
        <w:t>reach</w:t>
      </w:r>
      <w:r>
        <w:rPr>
          <w:rFonts w:ascii="Arial" w:hAnsi="Arial" w:cs="Arial"/>
          <w:sz w:val="20"/>
          <w:szCs w:val="20"/>
        </w:rPr>
        <w:t>ing</w:t>
      </w:r>
      <w:r w:rsidRPr="00C124FF">
        <w:rPr>
          <w:rFonts w:ascii="Arial" w:hAnsi="Arial" w:cs="Arial"/>
          <w:sz w:val="20"/>
          <w:szCs w:val="20"/>
        </w:rPr>
        <w:t xml:space="preserve"> </w:t>
      </w:r>
      <w:r w:rsidRPr="007E32BA">
        <w:rPr>
          <w:rFonts w:ascii="Arial" w:hAnsi="Arial" w:cs="Arial"/>
          <w:b/>
          <w:sz w:val="20"/>
          <w:szCs w:val="20"/>
        </w:rPr>
        <w:t xml:space="preserve">100% </w:t>
      </w:r>
      <w:r w:rsidRPr="00C124FF">
        <w:rPr>
          <w:rFonts w:ascii="Arial" w:hAnsi="Arial" w:cs="Arial"/>
          <w:sz w:val="20"/>
          <w:szCs w:val="20"/>
        </w:rPr>
        <w:t>of the total number of voting shares at the meeting.</w:t>
      </w:r>
    </w:p>
    <w:p w:rsidR="001C2C27" w:rsidRPr="002D3175" w:rsidRDefault="001C2C27" w:rsidP="00BC7890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66105" w:rsidRPr="00CF4172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CF4172">
        <w:rPr>
          <w:rFonts w:ascii="Arial" w:hAnsi="Arial" w:cs="Arial"/>
          <w:b/>
          <w:sz w:val="20"/>
          <w:szCs w:val="20"/>
        </w:rPr>
        <w:t>Article 11:</w:t>
      </w:r>
      <w:r w:rsidR="00BC7890" w:rsidRPr="00CF4172">
        <w:rPr>
          <w:rFonts w:ascii="Arial" w:hAnsi="Arial" w:cs="Arial"/>
          <w:b/>
          <w:sz w:val="20"/>
          <w:szCs w:val="20"/>
        </w:rPr>
        <w:t xml:space="preserve"> Implementation</w:t>
      </w:r>
      <w:r w:rsidRPr="00CF4172">
        <w:rPr>
          <w:rFonts w:ascii="Arial" w:hAnsi="Arial" w:cs="Arial"/>
          <w:b/>
          <w:sz w:val="20"/>
          <w:szCs w:val="20"/>
        </w:rPr>
        <w:t xml:space="preserve"> Provisions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>The resolution of the Annual Gen</w:t>
      </w:r>
      <w:r w:rsidR="00BC7890">
        <w:rPr>
          <w:rFonts w:ascii="Arial" w:hAnsi="Arial" w:cs="Arial"/>
          <w:sz w:val="20"/>
          <w:szCs w:val="20"/>
        </w:rPr>
        <w:t xml:space="preserve">eral Meeting of Shareholders </w:t>
      </w:r>
      <w:r w:rsidRPr="00C124FF">
        <w:rPr>
          <w:rFonts w:ascii="Arial" w:hAnsi="Arial" w:cs="Arial"/>
          <w:sz w:val="20"/>
          <w:szCs w:val="20"/>
        </w:rPr>
        <w:t xml:space="preserve">2017 of Yen Binh Cement Joint Stock Company takes effect from </w:t>
      </w:r>
      <w:r w:rsidR="00BC7890">
        <w:rPr>
          <w:rFonts w:ascii="Arial" w:hAnsi="Arial" w:cs="Arial"/>
          <w:sz w:val="20"/>
          <w:szCs w:val="20"/>
        </w:rPr>
        <w:t xml:space="preserve">29 </w:t>
      </w:r>
      <w:r w:rsidRPr="00C124FF">
        <w:rPr>
          <w:rFonts w:ascii="Arial" w:hAnsi="Arial" w:cs="Arial"/>
          <w:sz w:val="20"/>
          <w:szCs w:val="20"/>
        </w:rPr>
        <w:t>April</w:t>
      </w:r>
      <w:r w:rsidR="00BC7890">
        <w:rPr>
          <w:rFonts w:ascii="Arial" w:hAnsi="Arial" w:cs="Arial"/>
          <w:sz w:val="20"/>
          <w:szCs w:val="20"/>
        </w:rPr>
        <w:t>,</w:t>
      </w:r>
      <w:r w:rsidRPr="00C124FF">
        <w:rPr>
          <w:rFonts w:ascii="Arial" w:hAnsi="Arial" w:cs="Arial"/>
          <w:sz w:val="20"/>
          <w:szCs w:val="20"/>
        </w:rPr>
        <w:t xml:space="preserve"> 2017.</w:t>
      </w:r>
    </w:p>
    <w:p w:rsidR="00E66105" w:rsidRPr="00C124FF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C124FF">
        <w:rPr>
          <w:rFonts w:ascii="Arial" w:hAnsi="Arial" w:cs="Arial"/>
          <w:sz w:val="20"/>
          <w:szCs w:val="20"/>
        </w:rPr>
        <w:t xml:space="preserve">The General Meeting of Shareholders assigns the Board of Directors to organize the implementation of the contents approved at the General Meeting, on the basis </w:t>
      </w:r>
      <w:r w:rsidR="000171AC">
        <w:rPr>
          <w:rFonts w:ascii="Arial" w:hAnsi="Arial" w:cs="Arial"/>
          <w:sz w:val="20"/>
          <w:szCs w:val="20"/>
        </w:rPr>
        <w:t>of ensuring the highest benefit</w:t>
      </w:r>
      <w:r w:rsidRPr="00C124FF">
        <w:rPr>
          <w:rFonts w:ascii="Arial" w:hAnsi="Arial" w:cs="Arial"/>
          <w:sz w:val="20"/>
          <w:szCs w:val="20"/>
        </w:rPr>
        <w:t>s for the Company and its shareholders and in accordance with the Char</w:t>
      </w:r>
      <w:r w:rsidR="000171AC">
        <w:rPr>
          <w:rFonts w:ascii="Arial" w:hAnsi="Arial" w:cs="Arial"/>
          <w:sz w:val="20"/>
          <w:szCs w:val="20"/>
        </w:rPr>
        <w:t xml:space="preserve">ter of the Company and the </w:t>
      </w:r>
      <w:r w:rsidRPr="00C124FF">
        <w:rPr>
          <w:rFonts w:ascii="Arial" w:hAnsi="Arial" w:cs="Arial"/>
          <w:sz w:val="20"/>
          <w:szCs w:val="20"/>
        </w:rPr>
        <w:t>current law.</w:t>
      </w:r>
    </w:p>
    <w:p w:rsidR="00E66105" w:rsidRPr="00CF4172" w:rsidRDefault="00E66105" w:rsidP="00C124FF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CF4172">
        <w:rPr>
          <w:rFonts w:ascii="Arial" w:hAnsi="Arial" w:cs="Arial"/>
          <w:b/>
          <w:i/>
          <w:sz w:val="20"/>
          <w:szCs w:val="20"/>
        </w:rPr>
        <w:t xml:space="preserve">The resolution was approved by the General </w:t>
      </w:r>
      <w:r w:rsidR="00C27495">
        <w:rPr>
          <w:rFonts w:ascii="Arial" w:hAnsi="Arial" w:cs="Arial"/>
          <w:b/>
          <w:i/>
          <w:sz w:val="20"/>
          <w:szCs w:val="20"/>
        </w:rPr>
        <w:t xml:space="preserve">Meeting of Shareholders </w:t>
      </w:r>
      <w:r w:rsidRPr="00CF4172">
        <w:rPr>
          <w:rFonts w:ascii="Arial" w:hAnsi="Arial" w:cs="Arial"/>
          <w:b/>
          <w:i/>
          <w:sz w:val="20"/>
          <w:szCs w:val="20"/>
        </w:rPr>
        <w:t xml:space="preserve">2017 </w:t>
      </w:r>
      <w:r w:rsidR="00C27495">
        <w:rPr>
          <w:rFonts w:ascii="Arial" w:hAnsi="Arial" w:cs="Arial"/>
          <w:b/>
          <w:i/>
          <w:sz w:val="20"/>
          <w:szCs w:val="20"/>
        </w:rPr>
        <w:t xml:space="preserve">of </w:t>
      </w:r>
      <w:r w:rsidRPr="00CF4172">
        <w:rPr>
          <w:rFonts w:ascii="Arial" w:hAnsi="Arial" w:cs="Arial"/>
          <w:b/>
          <w:i/>
          <w:sz w:val="20"/>
          <w:szCs w:val="20"/>
        </w:rPr>
        <w:t xml:space="preserve">Yen Binh Cement Joint Stock Company </w:t>
      </w:r>
      <w:r w:rsidR="00614A23">
        <w:rPr>
          <w:rFonts w:ascii="Arial" w:hAnsi="Arial" w:cs="Arial"/>
          <w:b/>
          <w:i/>
          <w:sz w:val="20"/>
          <w:szCs w:val="20"/>
        </w:rPr>
        <w:t>in</w:t>
      </w:r>
      <w:r w:rsidRPr="00CF4172">
        <w:rPr>
          <w:rFonts w:ascii="Arial" w:hAnsi="Arial" w:cs="Arial"/>
          <w:b/>
          <w:i/>
          <w:sz w:val="20"/>
          <w:szCs w:val="20"/>
        </w:rPr>
        <w:t xml:space="preserve"> the full text at the meeting with the rate of 100% of the total number of shares attending the meeting.</w:t>
      </w:r>
    </w:p>
    <w:sectPr w:rsidR="00E66105" w:rsidRPr="00CF4172" w:rsidSect="00CD3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79" w:rsidRDefault="00321579" w:rsidP="00F466E5">
      <w:r>
        <w:separator/>
      </w:r>
    </w:p>
  </w:endnote>
  <w:endnote w:type="continuationSeparator" w:id="0">
    <w:p w:rsidR="00321579" w:rsidRDefault="00321579" w:rsidP="00F4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79" w:rsidRDefault="00321579" w:rsidP="00F466E5">
      <w:r>
        <w:separator/>
      </w:r>
    </w:p>
  </w:footnote>
  <w:footnote w:type="continuationSeparator" w:id="0">
    <w:p w:rsidR="00321579" w:rsidRDefault="00321579" w:rsidP="00F4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873"/>
      </v:shape>
    </w:pict>
  </w:numPicBullet>
  <w:abstractNum w:abstractNumId="0">
    <w:nsid w:val="0515392F"/>
    <w:multiLevelType w:val="hybridMultilevel"/>
    <w:tmpl w:val="9A72AF56"/>
    <w:lvl w:ilvl="0" w:tplc="26748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65EF3"/>
    <w:multiLevelType w:val="hybridMultilevel"/>
    <w:tmpl w:val="7898D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1274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37E96"/>
    <w:multiLevelType w:val="multilevel"/>
    <w:tmpl w:val="33E8C1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C71304"/>
    <w:multiLevelType w:val="hybridMultilevel"/>
    <w:tmpl w:val="1A9AE7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BE2F1F"/>
    <w:multiLevelType w:val="hybridMultilevel"/>
    <w:tmpl w:val="DE16A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6F1BD6"/>
    <w:multiLevelType w:val="multilevel"/>
    <w:tmpl w:val="3F2E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ADC622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72D7D"/>
    <w:multiLevelType w:val="hybridMultilevel"/>
    <w:tmpl w:val="8D22D4B4"/>
    <w:lvl w:ilvl="0" w:tplc="CB9CBD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4C1064"/>
    <w:multiLevelType w:val="hybridMultilevel"/>
    <w:tmpl w:val="472CE8FC"/>
    <w:lvl w:ilvl="0" w:tplc="E11EC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8F35AD"/>
    <w:multiLevelType w:val="hybridMultilevel"/>
    <w:tmpl w:val="EAEE4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033B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D16DF"/>
    <w:multiLevelType w:val="hybridMultilevel"/>
    <w:tmpl w:val="4F920952"/>
    <w:lvl w:ilvl="0" w:tplc="50F64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751E3"/>
    <w:multiLevelType w:val="hybridMultilevel"/>
    <w:tmpl w:val="7E82D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87011CA"/>
    <w:multiLevelType w:val="hybridMultilevel"/>
    <w:tmpl w:val="F764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06DD4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50347"/>
    <w:multiLevelType w:val="hybridMultilevel"/>
    <w:tmpl w:val="FAB0D406"/>
    <w:lvl w:ilvl="0" w:tplc="1F160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D69FE"/>
    <w:multiLevelType w:val="hybridMultilevel"/>
    <w:tmpl w:val="5C50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D31C03"/>
    <w:multiLevelType w:val="hybridMultilevel"/>
    <w:tmpl w:val="FBD813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A2826"/>
    <w:multiLevelType w:val="hybridMultilevel"/>
    <w:tmpl w:val="994CA532"/>
    <w:lvl w:ilvl="0" w:tplc="2018A0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DC4277"/>
    <w:multiLevelType w:val="hybridMultilevel"/>
    <w:tmpl w:val="0FBE6B38"/>
    <w:lvl w:ilvl="0" w:tplc="A5CA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B82D4C"/>
    <w:multiLevelType w:val="hybridMultilevel"/>
    <w:tmpl w:val="D6CE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E1D26"/>
    <w:multiLevelType w:val="hybridMultilevel"/>
    <w:tmpl w:val="253A8A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AB72F6"/>
    <w:multiLevelType w:val="hybridMultilevel"/>
    <w:tmpl w:val="5C9AD7CE"/>
    <w:lvl w:ilvl="0" w:tplc="E9CE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A80699"/>
    <w:multiLevelType w:val="multilevel"/>
    <w:tmpl w:val="EAE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D56748"/>
    <w:multiLevelType w:val="hybridMultilevel"/>
    <w:tmpl w:val="43CA0D8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B8C6C98"/>
    <w:multiLevelType w:val="multilevel"/>
    <w:tmpl w:val="8FA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A05EDC"/>
    <w:multiLevelType w:val="hybridMultilevel"/>
    <w:tmpl w:val="317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E2631"/>
    <w:multiLevelType w:val="hybridMultilevel"/>
    <w:tmpl w:val="D3FAD35E"/>
    <w:lvl w:ilvl="0" w:tplc="A044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5"/>
  </w:num>
  <w:num w:numId="5">
    <w:abstractNumId w:val="9"/>
  </w:num>
  <w:num w:numId="6">
    <w:abstractNumId w:val="10"/>
  </w:num>
  <w:num w:numId="7">
    <w:abstractNumId w:val="25"/>
  </w:num>
  <w:num w:numId="8">
    <w:abstractNumId w:val="17"/>
  </w:num>
  <w:num w:numId="9">
    <w:abstractNumId w:val="18"/>
  </w:num>
  <w:num w:numId="10">
    <w:abstractNumId w:val="23"/>
  </w:num>
  <w:num w:numId="11">
    <w:abstractNumId w:val="11"/>
  </w:num>
  <w:num w:numId="12">
    <w:abstractNumId w:val="13"/>
  </w:num>
  <w:num w:numId="13">
    <w:abstractNumId w:val="27"/>
  </w:num>
  <w:num w:numId="14">
    <w:abstractNumId w:val="22"/>
  </w:num>
  <w:num w:numId="15">
    <w:abstractNumId w:val="26"/>
  </w:num>
  <w:num w:numId="16">
    <w:abstractNumId w:val="0"/>
  </w:num>
  <w:num w:numId="17">
    <w:abstractNumId w:val="7"/>
  </w:num>
  <w:num w:numId="18">
    <w:abstractNumId w:val="14"/>
  </w:num>
  <w:num w:numId="19">
    <w:abstractNumId w:val="2"/>
  </w:num>
  <w:num w:numId="20">
    <w:abstractNumId w:val="6"/>
  </w:num>
  <w:num w:numId="21">
    <w:abstractNumId w:val="8"/>
  </w:num>
  <w:num w:numId="22">
    <w:abstractNumId w:val="21"/>
  </w:num>
  <w:num w:numId="23">
    <w:abstractNumId w:val="1"/>
  </w:num>
  <w:num w:numId="24">
    <w:abstractNumId w:val="12"/>
  </w:num>
  <w:num w:numId="25">
    <w:abstractNumId w:val="5"/>
  </w:num>
  <w:num w:numId="26">
    <w:abstractNumId w:val="4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A"/>
    <w:rsid w:val="000171AC"/>
    <w:rsid w:val="000306A7"/>
    <w:rsid w:val="00036F5D"/>
    <w:rsid w:val="0004471C"/>
    <w:rsid w:val="000540D8"/>
    <w:rsid w:val="00056492"/>
    <w:rsid w:val="000578EE"/>
    <w:rsid w:val="0006439C"/>
    <w:rsid w:val="0007149E"/>
    <w:rsid w:val="00073F5B"/>
    <w:rsid w:val="00074322"/>
    <w:rsid w:val="00076E6D"/>
    <w:rsid w:val="000817CF"/>
    <w:rsid w:val="00092070"/>
    <w:rsid w:val="00093BBD"/>
    <w:rsid w:val="0009484A"/>
    <w:rsid w:val="000B081E"/>
    <w:rsid w:val="000B3252"/>
    <w:rsid w:val="000C2E36"/>
    <w:rsid w:val="000D0860"/>
    <w:rsid w:val="000D65A7"/>
    <w:rsid w:val="000F504E"/>
    <w:rsid w:val="00115838"/>
    <w:rsid w:val="0011734D"/>
    <w:rsid w:val="001177BE"/>
    <w:rsid w:val="001200CF"/>
    <w:rsid w:val="001365C1"/>
    <w:rsid w:val="00146E4C"/>
    <w:rsid w:val="00152584"/>
    <w:rsid w:val="0015267E"/>
    <w:rsid w:val="00156A5A"/>
    <w:rsid w:val="0015779A"/>
    <w:rsid w:val="001713B0"/>
    <w:rsid w:val="001754D2"/>
    <w:rsid w:val="00176775"/>
    <w:rsid w:val="00182AD1"/>
    <w:rsid w:val="001835A5"/>
    <w:rsid w:val="00192F78"/>
    <w:rsid w:val="001A12DD"/>
    <w:rsid w:val="001A2A43"/>
    <w:rsid w:val="001A76E7"/>
    <w:rsid w:val="001B0345"/>
    <w:rsid w:val="001B1111"/>
    <w:rsid w:val="001B4413"/>
    <w:rsid w:val="001B5D21"/>
    <w:rsid w:val="001B6D02"/>
    <w:rsid w:val="001C26BC"/>
    <w:rsid w:val="001C2C27"/>
    <w:rsid w:val="001C69D8"/>
    <w:rsid w:val="001D40ED"/>
    <w:rsid w:val="001E6EA6"/>
    <w:rsid w:val="001E7AB0"/>
    <w:rsid w:val="001F1D18"/>
    <w:rsid w:val="001F46C1"/>
    <w:rsid w:val="00223E21"/>
    <w:rsid w:val="00226119"/>
    <w:rsid w:val="0022679A"/>
    <w:rsid w:val="002310A2"/>
    <w:rsid w:val="00235D37"/>
    <w:rsid w:val="00253091"/>
    <w:rsid w:val="0025393C"/>
    <w:rsid w:val="00261E73"/>
    <w:rsid w:val="00267D35"/>
    <w:rsid w:val="0027159C"/>
    <w:rsid w:val="00271B43"/>
    <w:rsid w:val="0027639D"/>
    <w:rsid w:val="00280C69"/>
    <w:rsid w:val="002841A6"/>
    <w:rsid w:val="00292760"/>
    <w:rsid w:val="00293E83"/>
    <w:rsid w:val="002B4327"/>
    <w:rsid w:val="002B492A"/>
    <w:rsid w:val="002B75A3"/>
    <w:rsid w:val="002C39FD"/>
    <w:rsid w:val="002C5F00"/>
    <w:rsid w:val="002C6D0D"/>
    <w:rsid w:val="002D0AA9"/>
    <w:rsid w:val="002D3175"/>
    <w:rsid w:val="002D5763"/>
    <w:rsid w:val="002E65B9"/>
    <w:rsid w:val="002E666B"/>
    <w:rsid w:val="002F1A4F"/>
    <w:rsid w:val="003168B6"/>
    <w:rsid w:val="00316DB1"/>
    <w:rsid w:val="00321579"/>
    <w:rsid w:val="00323C1E"/>
    <w:rsid w:val="00324699"/>
    <w:rsid w:val="00324FA6"/>
    <w:rsid w:val="00354832"/>
    <w:rsid w:val="0036329D"/>
    <w:rsid w:val="00371B5E"/>
    <w:rsid w:val="0037303C"/>
    <w:rsid w:val="00376919"/>
    <w:rsid w:val="003900DC"/>
    <w:rsid w:val="003A0241"/>
    <w:rsid w:val="003A5469"/>
    <w:rsid w:val="003A69DD"/>
    <w:rsid w:val="003B3300"/>
    <w:rsid w:val="003B7A96"/>
    <w:rsid w:val="003C2BFE"/>
    <w:rsid w:val="003C5A43"/>
    <w:rsid w:val="003D2831"/>
    <w:rsid w:val="003E26E3"/>
    <w:rsid w:val="003E495C"/>
    <w:rsid w:val="003E4DAF"/>
    <w:rsid w:val="003E572B"/>
    <w:rsid w:val="003F31B4"/>
    <w:rsid w:val="003F4657"/>
    <w:rsid w:val="003F485C"/>
    <w:rsid w:val="003F573C"/>
    <w:rsid w:val="003F7B34"/>
    <w:rsid w:val="004011C0"/>
    <w:rsid w:val="00401DEE"/>
    <w:rsid w:val="00404CC6"/>
    <w:rsid w:val="004109FB"/>
    <w:rsid w:val="00410EB0"/>
    <w:rsid w:val="00415D06"/>
    <w:rsid w:val="00425B09"/>
    <w:rsid w:val="00426913"/>
    <w:rsid w:val="00442AD3"/>
    <w:rsid w:val="004440F3"/>
    <w:rsid w:val="004526B9"/>
    <w:rsid w:val="004618F0"/>
    <w:rsid w:val="00463F92"/>
    <w:rsid w:val="00475BCB"/>
    <w:rsid w:val="004761D5"/>
    <w:rsid w:val="00476D43"/>
    <w:rsid w:val="00481880"/>
    <w:rsid w:val="00482D46"/>
    <w:rsid w:val="004834C9"/>
    <w:rsid w:val="00491DEA"/>
    <w:rsid w:val="004A00E4"/>
    <w:rsid w:val="004B2BD9"/>
    <w:rsid w:val="004B4433"/>
    <w:rsid w:val="004B5207"/>
    <w:rsid w:val="004E06FA"/>
    <w:rsid w:val="004E23CE"/>
    <w:rsid w:val="004E582D"/>
    <w:rsid w:val="004F1122"/>
    <w:rsid w:val="004F25D2"/>
    <w:rsid w:val="00507F80"/>
    <w:rsid w:val="00510475"/>
    <w:rsid w:val="00511D16"/>
    <w:rsid w:val="00517640"/>
    <w:rsid w:val="005207B6"/>
    <w:rsid w:val="00537859"/>
    <w:rsid w:val="00541981"/>
    <w:rsid w:val="00541FC9"/>
    <w:rsid w:val="005420F3"/>
    <w:rsid w:val="00544CDD"/>
    <w:rsid w:val="00544F7C"/>
    <w:rsid w:val="00550BEC"/>
    <w:rsid w:val="00553624"/>
    <w:rsid w:val="0056512C"/>
    <w:rsid w:val="005668FB"/>
    <w:rsid w:val="00567A4E"/>
    <w:rsid w:val="00573ED8"/>
    <w:rsid w:val="00580379"/>
    <w:rsid w:val="0058240F"/>
    <w:rsid w:val="005836B4"/>
    <w:rsid w:val="00584394"/>
    <w:rsid w:val="005900E7"/>
    <w:rsid w:val="00593AA6"/>
    <w:rsid w:val="005A3669"/>
    <w:rsid w:val="005B0A95"/>
    <w:rsid w:val="005C30C4"/>
    <w:rsid w:val="005C6A13"/>
    <w:rsid w:val="005D1B6D"/>
    <w:rsid w:val="005E10F8"/>
    <w:rsid w:val="005E24F4"/>
    <w:rsid w:val="005E3C25"/>
    <w:rsid w:val="005E5DFF"/>
    <w:rsid w:val="005F0688"/>
    <w:rsid w:val="005F2A04"/>
    <w:rsid w:val="005F77A1"/>
    <w:rsid w:val="00602360"/>
    <w:rsid w:val="00604EC7"/>
    <w:rsid w:val="00614A23"/>
    <w:rsid w:val="006264DC"/>
    <w:rsid w:val="0063245C"/>
    <w:rsid w:val="00632C36"/>
    <w:rsid w:val="00642EC9"/>
    <w:rsid w:val="00646987"/>
    <w:rsid w:val="0064711C"/>
    <w:rsid w:val="00651FE1"/>
    <w:rsid w:val="0065574C"/>
    <w:rsid w:val="006572EE"/>
    <w:rsid w:val="00660715"/>
    <w:rsid w:val="006629A4"/>
    <w:rsid w:val="0066528B"/>
    <w:rsid w:val="00666A10"/>
    <w:rsid w:val="00672E94"/>
    <w:rsid w:val="00682F52"/>
    <w:rsid w:val="006835A0"/>
    <w:rsid w:val="00684AA8"/>
    <w:rsid w:val="00690A5A"/>
    <w:rsid w:val="006A6DE9"/>
    <w:rsid w:val="006A7015"/>
    <w:rsid w:val="006B02D0"/>
    <w:rsid w:val="006B13C3"/>
    <w:rsid w:val="006B61B9"/>
    <w:rsid w:val="006D5D32"/>
    <w:rsid w:val="006E6A6C"/>
    <w:rsid w:val="006F18B8"/>
    <w:rsid w:val="006F3AC3"/>
    <w:rsid w:val="006F6323"/>
    <w:rsid w:val="00712993"/>
    <w:rsid w:val="00722063"/>
    <w:rsid w:val="00722B4F"/>
    <w:rsid w:val="007235D6"/>
    <w:rsid w:val="007251E3"/>
    <w:rsid w:val="007338F3"/>
    <w:rsid w:val="007415B6"/>
    <w:rsid w:val="0074250B"/>
    <w:rsid w:val="00743964"/>
    <w:rsid w:val="0074587F"/>
    <w:rsid w:val="0075207D"/>
    <w:rsid w:val="007530F9"/>
    <w:rsid w:val="00754560"/>
    <w:rsid w:val="00756635"/>
    <w:rsid w:val="00761357"/>
    <w:rsid w:val="00771984"/>
    <w:rsid w:val="00776A04"/>
    <w:rsid w:val="00782843"/>
    <w:rsid w:val="00791A31"/>
    <w:rsid w:val="007A1710"/>
    <w:rsid w:val="007A210A"/>
    <w:rsid w:val="007B7631"/>
    <w:rsid w:val="007C567C"/>
    <w:rsid w:val="007D6F96"/>
    <w:rsid w:val="007E09E8"/>
    <w:rsid w:val="007E32BA"/>
    <w:rsid w:val="007E60C8"/>
    <w:rsid w:val="00801FF8"/>
    <w:rsid w:val="00810594"/>
    <w:rsid w:val="00811516"/>
    <w:rsid w:val="00812DA4"/>
    <w:rsid w:val="00817D04"/>
    <w:rsid w:val="00827ED7"/>
    <w:rsid w:val="00834C89"/>
    <w:rsid w:val="0083561D"/>
    <w:rsid w:val="00837308"/>
    <w:rsid w:val="0084027D"/>
    <w:rsid w:val="008545A3"/>
    <w:rsid w:val="0087459F"/>
    <w:rsid w:val="00883C6B"/>
    <w:rsid w:val="008841A2"/>
    <w:rsid w:val="00892937"/>
    <w:rsid w:val="008A0DB0"/>
    <w:rsid w:val="008A0F23"/>
    <w:rsid w:val="008A23A6"/>
    <w:rsid w:val="008B2783"/>
    <w:rsid w:val="008B6B28"/>
    <w:rsid w:val="008D2D82"/>
    <w:rsid w:val="008E69C8"/>
    <w:rsid w:val="008E7446"/>
    <w:rsid w:val="008F09DA"/>
    <w:rsid w:val="008F1D7C"/>
    <w:rsid w:val="008F3C70"/>
    <w:rsid w:val="00904141"/>
    <w:rsid w:val="0092086A"/>
    <w:rsid w:val="009269B1"/>
    <w:rsid w:val="00933C92"/>
    <w:rsid w:val="00936F3D"/>
    <w:rsid w:val="00936FD8"/>
    <w:rsid w:val="00941197"/>
    <w:rsid w:val="009552A7"/>
    <w:rsid w:val="00957A94"/>
    <w:rsid w:val="00971CAD"/>
    <w:rsid w:val="0097639D"/>
    <w:rsid w:val="00982C99"/>
    <w:rsid w:val="009879AA"/>
    <w:rsid w:val="0099026B"/>
    <w:rsid w:val="009937C4"/>
    <w:rsid w:val="009A5E61"/>
    <w:rsid w:val="009C4A9F"/>
    <w:rsid w:val="009D2018"/>
    <w:rsid w:val="009D3C55"/>
    <w:rsid w:val="009D7C6A"/>
    <w:rsid w:val="009E1950"/>
    <w:rsid w:val="009E3FE9"/>
    <w:rsid w:val="009E4FD7"/>
    <w:rsid w:val="009E7CD1"/>
    <w:rsid w:val="009F2D2C"/>
    <w:rsid w:val="009F779C"/>
    <w:rsid w:val="00A027FF"/>
    <w:rsid w:val="00A06712"/>
    <w:rsid w:val="00A11636"/>
    <w:rsid w:val="00A11D97"/>
    <w:rsid w:val="00A13148"/>
    <w:rsid w:val="00A14F8E"/>
    <w:rsid w:val="00A221B8"/>
    <w:rsid w:val="00A32E4E"/>
    <w:rsid w:val="00A425C8"/>
    <w:rsid w:val="00A56CD5"/>
    <w:rsid w:val="00A60E43"/>
    <w:rsid w:val="00A6289B"/>
    <w:rsid w:val="00A63585"/>
    <w:rsid w:val="00A66037"/>
    <w:rsid w:val="00A6656E"/>
    <w:rsid w:val="00A72054"/>
    <w:rsid w:val="00A74CB7"/>
    <w:rsid w:val="00A779F6"/>
    <w:rsid w:val="00A87475"/>
    <w:rsid w:val="00A93661"/>
    <w:rsid w:val="00AA2CA8"/>
    <w:rsid w:val="00AB0AD5"/>
    <w:rsid w:val="00AB2D8A"/>
    <w:rsid w:val="00AB67AA"/>
    <w:rsid w:val="00AB785F"/>
    <w:rsid w:val="00AC015C"/>
    <w:rsid w:val="00AC454C"/>
    <w:rsid w:val="00AD1D28"/>
    <w:rsid w:val="00AD5C0B"/>
    <w:rsid w:val="00AD7694"/>
    <w:rsid w:val="00AE0DCA"/>
    <w:rsid w:val="00AE6E4B"/>
    <w:rsid w:val="00B0019E"/>
    <w:rsid w:val="00B06C5E"/>
    <w:rsid w:val="00B06CC3"/>
    <w:rsid w:val="00B14498"/>
    <w:rsid w:val="00B25C47"/>
    <w:rsid w:val="00B314F9"/>
    <w:rsid w:val="00B321FF"/>
    <w:rsid w:val="00B3344C"/>
    <w:rsid w:val="00B41149"/>
    <w:rsid w:val="00B43ADD"/>
    <w:rsid w:val="00B54A2A"/>
    <w:rsid w:val="00B612C5"/>
    <w:rsid w:val="00B64961"/>
    <w:rsid w:val="00B6559F"/>
    <w:rsid w:val="00B65FB3"/>
    <w:rsid w:val="00B77C61"/>
    <w:rsid w:val="00B83F2C"/>
    <w:rsid w:val="00B871FB"/>
    <w:rsid w:val="00B87A6C"/>
    <w:rsid w:val="00B93233"/>
    <w:rsid w:val="00B939CE"/>
    <w:rsid w:val="00B97CD2"/>
    <w:rsid w:val="00BB04D4"/>
    <w:rsid w:val="00BB38A4"/>
    <w:rsid w:val="00BC232B"/>
    <w:rsid w:val="00BC4849"/>
    <w:rsid w:val="00BC7890"/>
    <w:rsid w:val="00BD618E"/>
    <w:rsid w:val="00BD76CD"/>
    <w:rsid w:val="00BE5509"/>
    <w:rsid w:val="00BE7D65"/>
    <w:rsid w:val="00C056FB"/>
    <w:rsid w:val="00C10886"/>
    <w:rsid w:val="00C124FF"/>
    <w:rsid w:val="00C141E2"/>
    <w:rsid w:val="00C1683C"/>
    <w:rsid w:val="00C26332"/>
    <w:rsid w:val="00C27163"/>
    <w:rsid w:val="00C27495"/>
    <w:rsid w:val="00C31432"/>
    <w:rsid w:val="00C3722C"/>
    <w:rsid w:val="00C40ED1"/>
    <w:rsid w:val="00C411B5"/>
    <w:rsid w:val="00C421AD"/>
    <w:rsid w:val="00C476A2"/>
    <w:rsid w:val="00C63A51"/>
    <w:rsid w:val="00C709B4"/>
    <w:rsid w:val="00C745B8"/>
    <w:rsid w:val="00C755DB"/>
    <w:rsid w:val="00C7581B"/>
    <w:rsid w:val="00C77343"/>
    <w:rsid w:val="00C83740"/>
    <w:rsid w:val="00C93435"/>
    <w:rsid w:val="00CB5456"/>
    <w:rsid w:val="00CC4771"/>
    <w:rsid w:val="00CC77BB"/>
    <w:rsid w:val="00CD3C1C"/>
    <w:rsid w:val="00CD4921"/>
    <w:rsid w:val="00CD5A64"/>
    <w:rsid w:val="00CE6290"/>
    <w:rsid w:val="00CF4172"/>
    <w:rsid w:val="00D14C1F"/>
    <w:rsid w:val="00D21B68"/>
    <w:rsid w:val="00D3065F"/>
    <w:rsid w:val="00D50332"/>
    <w:rsid w:val="00D50EBD"/>
    <w:rsid w:val="00D606EA"/>
    <w:rsid w:val="00D60DE9"/>
    <w:rsid w:val="00D650E5"/>
    <w:rsid w:val="00D67745"/>
    <w:rsid w:val="00D678D9"/>
    <w:rsid w:val="00D70410"/>
    <w:rsid w:val="00D71D98"/>
    <w:rsid w:val="00D742BE"/>
    <w:rsid w:val="00D777E2"/>
    <w:rsid w:val="00D80E08"/>
    <w:rsid w:val="00D814B2"/>
    <w:rsid w:val="00D8543F"/>
    <w:rsid w:val="00D85DB4"/>
    <w:rsid w:val="00D87210"/>
    <w:rsid w:val="00D87AFD"/>
    <w:rsid w:val="00D93D68"/>
    <w:rsid w:val="00DA0BDB"/>
    <w:rsid w:val="00DA5F9E"/>
    <w:rsid w:val="00DB1F2C"/>
    <w:rsid w:val="00DB79EF"/>
    <w:rsid w:val="00DD41C3"/>
    <w:rsid w:val="00DD4883"/>
    <w:rsid w:val="00DD4A47"/>
    <w:rsid w:val="00DD6CEB"/>
    <w:rsid w:val="00DE6EC7"/>
    <w:rsid w:val="00DE7FB1"/>
    <w:rsid w:val="00DF0030"/>
    <w:rsid w:val="00E01892"/>
    <w:rsid w:val="00E150A2"/>
    <w:rsid w:val="00E168AD"/>
    <w:rsid w:val="00E238DF"/>
    <w:rsid w:val="00E32823"/>
    <w:rsid w:val="00E34BE7"/>
    <w:rsid w:val="00E36543"/>
    <w:rsid w:val="00E501E6"/>
    <w:rsid w:val="00E63ADD"/>
    <w:rsid w:val="00E66105"/>
    <w:rsid w:val="00E74896"/>
    <w:rsid w:val="00E9414B"/>
    <w:rsid w:val="00E956B3"/>
    <w:rsid w:val="00E97C67"/>
    <w:rsid w:val="00EA3E0E"/>
    <w:rsid w:val="00EA5E63"/>
    <w:rsid w:val="00EB0500"/>
    <w:rsid w:val="00ED3A6D"/>
    <w:rsid w:val="00ED6FE7"/>
    <w:rsid w:val="00EE5192"/>
    <w:rsid w:val="00F11266"/>
    <w:rsid w:val="00F22015"/>
    <w:rsid w:val="00F22142"/>
    <w:rsid w:val="00F23A7F"/>
    <w:rsid w:val="00F30096"/>
    <w:rsid w:val="00F301E4"/>
    <w:rsid w:val="00F31FFA"/>
    <w:rsid w:val="00F466E5"/>
    <w:rsid w:val="00F50562"/>
    <w:rsid w:val="00F535DF"/>
    <w:rsid w:val="00F53AB6"/>
    <w:rsid w:val="00F6171A"/>
    <w:rsid w:val="00F6395B"/>
    <w:rsid w:val="00F63F5E"/>
    <w:rsid w:val="00F644AB"/>
    <w:rsid w:val="00F65870"/>
    <w:rsid w:val="00F75361"/>
    <w:rsid w:val="00F81025"/>
    <w:rsid w:val="00F841CE"/>
    <w:rsid w:val="00F853B0"/>
    <w:rsid w:val="00F91445"/>
    <w:rsid w:val="00F94938"/>
    <w:rsid w:val="00F94CE5"/>
    <w:rsid w:val="00FB4D49"/>
    <w:rsid w:val="00FB67CA"/>
    <w:rsid w:val="00FC2081"/>
    <w:rsid w:val="00FC2B2E"/>
    <w:rsid w:val="00FC7C2C"/>
    <w:rsid w:val="00FD17A3"/>
    <w:rsid w:val="00FD35C6"/>
    <w:rsid w:val="00FD5E55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570C4-C73C-4104-9175-FDEA192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36F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translate">
    <w:name w:val="notranslate"/>
    <w:basedOn w:val="DefaultParagraphFont"/>
    <w:rsid w:val="00036F5D"/>
  </w:style>
  <w:style w:type="table" w:styleId="TableGrid">
    <w:name w:val="Table Grid"/>
    <w:basedOn w:val="TableNormal"/>
    <w:rsid w:val="00D6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6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66E5"/>
    <w:rPr>
      <w:sz w:val="24"/>
      <w:szCs w:val="24"/>
    </w:rPr>
  </w:style>
  <w:style w:type="paragraph" w:styleId="Footer">
    <w:name w:val="footer"/>
    <w:basedOn w:val="Normal"/>
    <w:link w:val="FooterChar"/>
    <w:rsid w:val="00F46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66E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B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hoidhvgoka</vt:lpstr>
    </vt:vector>
  </TitlesOfParts>
  <Company>000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hoidhvgoka</dc:title>
  <dc:subject/>
  <dc:creator>vuanh</dc:creator>
  <cp:keywords/>
  <dc:description/>
  <cp:lastModifiedBy>USER</cp:lastModifiedBy>
  <cp:revision>2</cp:revision>
  <cp:lastPrinted>2017-04-24T04:48:00Z</cp:lastPrinted>
  <dcterms:created xsi:type="dcterms:W3CDTF">2017-05-12T07:56:00Z</dcterms:created>
  <dcterms:modified xsi:type="dcterms:W3CDTF">2017-05-12T07:56:00Z</dcterms:modified>
</cp:coreProperties>
</file>